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4657B4" w:rsidP="0044299E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5.85pt;margin-top:27.5pt;width:44.6pt;height:44.05pt;z-index:251666432" filled="f" stroked="f">
            <v:textbox>
              <w:txbxContent>
                <w:p w:rsidR="00531C29" w:rsidRPr="00531C29" w:rsidRDefault="00531C29">
                  <w:pPr>
                    <w:rPr>
                      <w:sz w:val="13"/>
                      <w:szCs w:val="15"/>
                    </w:rPr>
                  </w:pPr>
                  <w:r w:rsidRPr="00531C29">
                    <w:rPr>
                      <w:rFonts w:hint="eastAsia"/>
                      <w:sz w:val="13"/>
                      <w:szCs w:val="15"/>
                    </w:rPr>
                    <w:t>甘油激酶</w:t>
                  </w:r>
                </w:p>
              </w:txbxContent>
            </v:textbox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27" type="#_x0000_t202" style="position:absolute;left:0;text-align:left;margin-left:155.4pt;margin-top:27.5pt;width:60.2pt;height:26.85pt;z-index:251664384" filled="f" stroked="f">
            <v:textbox>
              <w:txbxContent>
                <w:p w:rsidR="00531C29" w:rsidRPr="00531C29" w:rsidRDefault="00531C29">
                  <w:pPr>
                    <w:rPr>
                      <w:sz w:val="15"/>
                      <w:szCs w:val="16"/>
                    </w:rPr>
                  </w:pPr>
                  <w:r w:rsidRPr="00531C29">
                    <w:rPr>
                      <w:rFonts w:hint="eastAsia"/>
                      <w:sz w:val="15"/>
                      <w:szCs w:val="16"/>
                    </w:rPr>
                    <w:t>脂肪酶</w:t>
                  </w:r>
                </w:p>
              </w:txbxContent>
            </v:textbox>
          </v:shape>
        </w:pict>
      </w:r>
      <w:r w:rsidR="009405E8">
        <w:rPr>
          <w:rFonts w:ascii="Calibri" w:hAnsi="Calibri" w:hint="eastAsia"/>
          <w:b/>
          <w:sz w:val="32"/>
          <w:szCs w:val="32"/>
        </w:rPr>
        <w:t>甘油三脂</w:t>
      </w:r>
      <w:r w:rsidR="009405E8">
        <w:rPr>
          <w:rFonts w:ascii="Calibri" w:hAnsi="Calibri"/>
          <w:b/>
          <w:sz w:val="32"/>
          <w:szCs w:val="32"/>
        </w:rPr>
        <w:t>(</w:t>
      </w:r>
      <w:r w:rsidR="009405E8">
        <w:rPr>
          <w:rFonts w:ascii="Calibri" w:hAnsi="Calibri" w:hint="eastAsia"/>
          <w:b/>
          <w:sz w:val="32"/>
          <w:szCs w:val="32"/>
        </w:rPr>
        <w:t>TG</w:t>
      </w:r>
      <w:r w:rsidR="007C1533" w:rsidRPr="007C1533">
        <w:rPr>
          <w:rFonts w:ascii="Calibri" w:hAnsi="Calibri"/>
          <w:b/>
          <w:sz w:val="32"/>
          <w:szCs w:val="32"/>
        </w:rPr>
        <w:t>)</w:t>
      </w:r>
      <w:r w:rsidR="00C01EE2">
        <w:rPr>
          <w:rFonts w:ascii="Calibri" w:hAnsi="Calibri" w:hint="eastAsia"/>
          <w:b/>
          <w:sz w:val="32"/>
          <w:szCs w:val="32"/>
        </w:rPr>
        <w:t>含量测定试剂盒</w:t>
      </w:r>
      <w:r w:rsidR="00C9295A">
        <w:rPr>
          <w:rFonts w:ascii="Calibri" w:hAnsi="Calibri" w:hint="eastAsia"/>
          <w:b/>
          <w:sz w:val="32"/>
          <w:szCs w:val="32"/>
        </w:rPr>
        <w:t>说明书</w:t>
      </w:r>
      <w:r w:rsidR="0044299E" w:rsidRPr="0075551D">
        <w:rPr>
          <w:rFonts w:ascii="Calibri" w:hAnsi="Calibri" w:hint="eastAsia"/>
          <w:b/>
          <w:sz w:val="24"/>
          <w:szCs w:val="24"/>
        </w:rPr>
        <w:t>（货号：</w:t>
      </w:r>
      <w:r w:rsidR="009405E8">
        <w:rPr>
          <w:rFonts w:ascii="Calibri" w:hAnsi="Calibri" w:hint="eastAsia"/>
          <w:b/>
          <w:sz w:val="24"/>
          <w:szCs w:val="24"/>
        </w:rPr>
        <w:t>PYB2045</w:t>
      </w:r>
      <w:r w:rsidR="00C01EE2">
        <w:rPr>
          <w:rFonts w:ascii="Calibri" w:hAnsi="Calibri" w:hint="eastAsia"/>
          <w:b/>
          <w:sz w:val="24"/>
          <w:szCs w:val="24"/>
        </w:rPr>
        <w:t>,</w:t>
      </w:r>
      <w:r w:rsidR="00C01EE2">
        <w:rPr>
          <w:rFonts w:ascii="Calibri" w:hAnsi="Calibri" w:hint="eastAsia"/>
          <w:b/>
          <w:sz w:val="24"/>
          <w:szCs w:val="24"/>
        </w:rPr>
        <w:t>规格</w:t>
      </w:r>
      <w:r w:rsidR="00C01EE2">
        <w:rPr>
          <w:rFonts w:ascii="Calibri" w:hAnsi="Calibri" w:hint="eastAsia"/>
          <w:b/>
          <w:sz w:val="24"/>
          <w:szCs w:val="24"/>
        </w:rPr>
        <w:t>:96T</w:t>
      </w:r>
      <w:r w:rsidR="0044299E" w:rsidRPr="0075551D">
        <w:rPr>
          <w:rFonts w:ascii="Calibri" w:hAnsi="Calibri" w:hint="eastAsia"/>
          <w:b/>
          <w:sz w:val="24"/>
          <w:szCs w:val="24"/>
        </w:rPr>
        <w:t>）</w:t>
      </w:r>
    </w:p>
    <w:p w:rsidR="00B3483A" w:rsidRDefault="004657B4" w:rsidP="00B3483A">
      <w:pPr>
        <w:pStyle w:val="a3"/>
        <w:numPr>
          <w:ilvl w:val="0"/>
          <w:numId w:val="9"/>
        </w:numPr>
        <w:ind w:firstLineChars="0"/>
        <w:rPr>
          <w:rFonts w:ascii="宋体" w:hAnsi="宋体"/>
          <w:color w:val="000000"/>
          <w:sz w:val="18"/>
          <w:szCs w:val="18"/>
        </w:rPr>
      </w:pPr>
      <w:r w:rsidRPr="004657B4">
        <w:rPr>
          <w:rFonts w:ascii="Tahoma" w:hAnsi="Tahoma" w:cs="Tahoma"/>
          <w:b/>
          <w:noProof/>
          <w:sz w:val="24"/>
          <w:szCs w:val="24"/>
        </w:rPr>
        <w:pict>
          <v:shape id="_x0000_s1031" type="#_x0000_t202" style="position:absolute;left:0;text-align:left;margin-left:111.35pt;margin-top:15.65pt;width:84.9pt;height:46.2pt;z-index:251668480" filled="f" stroked="f">
            <v:textbox style="mso-next-textbox:#_x0000_s1031">
              <w:txbxContent>
                <w:p w:rsidR="00531C29" w:rsidRPr="00531C29" w:rsidRDefault="00531C29">
                  <w:pPr>
                    <w:rPr>
                      <w:sz w:val="15"/>
                      <w:szCs w:val="16"/>
                    </w:rPr>
                  </w:pPr>
                  <w:r w:rsidRPr="00531C29">
                    <w:rPr>
                      <w:rFonts w:hint="eastAsia"/>
                      <w:sz w:val="15"/>
                      <w:szCs w:val="16"/>
                    </w:rPr>
                    <w:t>3-</w:t>
                  </w:r>
                  <w:r w:rsidRPr="00531C29">
                    <w:rPr>
                      <w:rFonts w:hint="eastAsia"/>
                      <w:sz w:val="15"/>
                      <w:szCs w:val="16"/>
                    </w:rPr>
                    <w:t>磷酸甘油氧化酶</w:t>
                  </w:r>
                </w:p>
              </w:txbxContent>
            </v:textbox>
          </v:shape>
        </w:pict>
      </w:r>
      <w:r w:rsidRPr="004657B4">
        <w:rPr>
          <w:rFonts w:ascii="Tahoma" w:hAnsi="Tahoma" w:cs="Tahom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5.85pt;margin-top:18.35pt;width:51.6pt;height:0;z-index:251665408" o:connectortype="straight">
            <v:stroke endarrow="block"/>
          </v:shape>
        </w:pict>
      </w:r>
      <w:r w:rsidRPr="004657B4">
        <w:rPr>
          <w:rFonts w:ascii="Tahoma" w:hAnsi="Tahoma" w:cs="Tahoma"/>
          <w:b/>
          <w:noProof/>
          <w:sz w:val="24"/>
          <w:szCs w:val="24"/>
        </w:rPr>
        <w:pict>
          <v:shape id="_x0000_s1026" type="#_x0000_t32" style="position:absolute;left:0;text-align:left;margin-left:155.4pt;margin-top:18.35pt;width:51.05pt;height:0;z-index:251663360" o:connectortype="straight">
            <v:stroke endarrow="block"/>
          </v:shape>
        </w:pict>
      </w:r>
      <w:r w:rsidR="008F763E" w:rsidRPr="0044299E">
        <w:rPr>
          <w:rFonts w:ascii="Tahoma" w:hAnsi="Tahoma" w:cs="Tahoma" w:hint="eastAsia"/>
          <w:b/>
          <w:sz w:val="24"/>
          <w:szCs w:val="24"/>
        </w:rPr>
        <w:t>实验原理</w:t>
      </w:r>
      <w:r w:rsidR="008F763E">
        <w:rPr>
          <w:rFonts w:ascii="Tahoma" w:hAnsi="Tahoma" w:cs="Tahoma" w:hint="eastAsia"/>
          <w:b/>
          <w:sz w:val="28"/>
          <w:szCs w:val="28"/>
        </w:rPr>
        <w:t>：</w:t>
      </w:r>
      <w:r w:rsidR="00531C29" w:rsidRPr="00531C29">
        <w:rPr>
          <w:rFonts w:ascii="宋体" w:hAnsi="宋体" w:hint="eastAsia"/>
          <w:color w:val="000000"/>
          <w:sz w:val="18"/>
          <w:szCs w:val="18"/>
        </w:rPr>
        <w:t>甘油三酯+H2O             甘油+脂肪酸</w:t>
      </w:r>
      <w:r w:rsidR="00531C29">
        <w:rPr>
          <w:rFonts w:ascii="宋体" w:hAnsi="宋体" w:hint="eastAsia"/>
          <w:color w:val="000000"/>
          <w:sz w:val="18"/>
          <w:szCs w:val="18"/>
        </w:rPr>
        <w:t>，甘油+ATP              甘油 -3-磷酸+ADP</w:t>
      </w:r>
    </w:p>
    <w:p w:rsidR="00531C29" w:rsidRDefault="004657B4" w:rsidP="00531C29">
      <w:pPr>
        <w:pStyle w:val="a3"/>
        <w:ind w:left="652" w:firstLineChars="0" w:firstLine="0"/>
        <w:rPr>
          <w:rFonts w:ascii="宋体" w:hAnsi="宋体"/>
          <w:color w:val="000000"/>
          <w:sz w:val="18"/>
          <w:szCs w:val="18"/>
          <w:vertAlign w:val="subscript"/>
        </w:rPr>
      </w:pPr>
      <w:r w:rsidRPr="004657B4">
        <w:rPr>
          <w:rFonts w:ascii="Tahoma" w:hAnsi="Tahoma" w:cs="Tahoma"/>
          <w:b/>
          <w:noProof/>
          <w:sz w:val="24"/>
          <w:szCs w:val="24"/>
        </w:rPr>
        <w:pict>
          <v:shape id="_x0000_s1033" type="#_x0000_t202" style="position:absolute;left:0;text-align:left;margin-left:117.8pt;margin-top:2.7pt;width:64.5pt;height:44.55pt;z-index:251670528" filled="f" stroked="f">
            <v:textbox>
              <w:txbxContent>
                <w:p w:rsidR="00531C29" w:rsidRPr="00531C29" w:rsidRDefault="00531C29">
                  <w:pPr>
                    <w:rPr>
                      <w:sz w:val="15"/>
                      <w:szCs w:val="16"/>
                    </w:rPr>
                  </w:pPr>
                  <w:r w:rsidRPr="00531C29">
                    <w:rPr>
                      <w:rFonts w:hint="eastAsia"/>
                      <w:sz w:val="15"/>
                      <w:szCs w:val="16"/>
                    </w:rPr>
                    <w:t>过氧化物酶</w:t>
                  </w:r>
                </w:p>
              </w:txbxContent>
            </v:textbox>
          </v:shape>
        </w:pict>
      </w:r>
      <w:r w:rsidRPr="004657B4">
        <w:rPr>
          <w:rFonts w:ascii="宋体" w:hAnsi="宋体"/>
          <w:color w:val="000000"/>
          <w:sz w:val="18"/>
          <w:szCs w:val="18"/>
        </w:rPr>
        <w:pict>
          <v:shape id="_x0000_s1030" type="#_x0000_t32" style="position:absolute;left:0;text-align:left;margin-left:107.05pt;margin-top:9.15pt;width:82.75pt;height:0;z-index:251667456" o:connectortype="straight">
            <v:stroke endarrow="block"/>
          </v:shape>
        </w:pict>
      </w:r>
      <w:r w:rsidR="00531C29" w:rsidRPr="00531C29">
        <w:rPr>
          <w:rFonts w:ascii="宋体" w:hAnsi="宋体" w:hint="eastAsia"/>
          <w:color w:val="000000"/>
          <w:sz w:val="18"/>
          <w:szCs w:val="18"/>
        </w:rPr>
        <w:t>甘油-</w:t>
      </w:r>
      <w:r w:rsidR="00531C29">
        <w:rPr>
          <w:rFonts w:ascii="宋体" w:hAnsi="宋体" w:hint="eastAsia"/>
          <w:color w:val="000000"/>
          <w:sz w:val="18"/>
          <w:szCs w:val="18"/>
        </w:rPr>
        <w:t>3-磷酸+O2                       磷酸羟基丙酮+H</w:t>
      </w:r>
      <w:r w:rsidR="00531C29" w:rsidRPr="00531C29">
        <w:rPr>
          <w:rFonts w:ascii="宋体" w:hAnsi="宋体" w:hint="eastAsia"/>
          <w:strike/>
          <w:color w:val="000000"/>
          <w:sz w:val="18"/>
          <w:szCs w:val="18"/>
          <w:vertAlign w:val="subscript"/>
        </w:rPr>
        <w:t>2</w:t>
      </w:r>
      <w:r w:rsidR="00531C29">
        <w:rPr>
          <w:rFonts w:ascii="宋体" w:hAnsi="宋体" w:hint="eastAsia"/>
          <w:color w:val="000000"/>
          <w:sz w:val="18"/>
          <w:szCs w:val="18"/>
        </w:rPr>
        <w:t>O</w:t>
      </w:r>
      <w:r w:rsidR="00531C29" w:rsidRPr="00531C29">
        <w:rPr>
          <w:rFonts w:ascii="宋体" w:hAnsi="宋体" w:hint="eastAsia"/>
          <w:color w:val="000000"/>
          <w:sz w:val="18"/>
          <w:szCs w:val="18"/>
          <w:vertAlign w:val="subscript"/>
        </w:rPr>
        <w:t>2</w:t>
      </w:r>
      <w:r w:rsidR="00531C29">
        <w:rPr>
          <w:rFonts w:ascii="宋体" w:hAnsi="宋体" w:hint="eastAsia"/>
          <w:color w:val="000000"/>
          <w:sz w:val="18"/>
          <w:szCs w:val="18"/>
          <w:vertAlign w:val="subscript"/>
        </w:rPr>
        <w:t>，</w:t>
      </w:r>
    </w:p>
    <w:p w:rsidR="009405E8" w:rsidRPr="003903F8" w:rsidRDefault="004657B4" w:rsidP="003903F8">
      <w:pPr>
        <w:pStyle w:val="a3"/>
        <w:ind w:left="652" w:firstLineChars="0" w:firstLine="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shape id="_x0000_s1032" type="#_x0000_t32" style="position:absolute;left:0;text-align:left;margin-left:114.05pt;margin-top:10.2pt;width:1in;height:0;z-index:251669504" o:connectortype="straight">
            <v:stroke endarrow="block"/>
          </v:shape>
        </w:pict>
      </w:r>
      <w:r w:rsidR="00531C29">
        <w:rPr>
          <w:rFonts w:ascii="宋体" w:hAnsi="宋体" w:hint="eastAsia"/>
          <w:color w:val="000000"/>
          <w:sz w:val="18"/>
          <w:szCs w:val="18"/>
        </w:rPr>
        <w:t>H2O2+4-AAP+对氯酚                  红色醌化物</w:t>
      </w:r>
    </w:p>
    <w:p w:rsidR="009405E8" w:rsidRPr="009405E8" w:rsidRDefault="009B0BD5" w:rsidP="009405E8">
      <w:pPr>
        <w:rPr>
          <w:rFonts w:ascii="Tahoma" w:hAnsi="Tahoma" w:cs="Tahoma"/>
          <w:b/>
          <w:sz w:val="28"/>
          <w:szCs w:val="28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</w:t>
      </w:r>
      <w:r w:rsidR="009405E8" w:rsidRPr="009405E8">
        <w:rPr>
          <w:rFonts w:ascii="宋体" w:hAnsi="宋体"/>
          <w:color w:val="000000"/>
          <w:sz w:val="18"/>
          <w:szCs w:val="18"/>
        </w:rPr>
        <w:t>生成的醌类化合物颜色的深浅与甘油三酯的含量成正比，分别测定标准管和样本管的吸光度值，可计算样本中甘油三酯的含量。</w:t>
      </w:r>
    </w:p>
    <w:p w:rsidR="00E440CF" w:rsidRPr="004D422A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pPr w:leftFromText="180" w:rightFromText="180" w:vertAnchor="text" w:horzAnchor="margin" w:tblpY="254"/>
        <w:tblW w:w="0" w:type="auto"/>
        <w:tblLook w:val="04A0"/>
      </w:tblPr>
      <w:tblGrid>
        <w:gridCol w:w="1336"/>
        <w:gridCol w:w="1056"/>
        <w:gridCol w:w="1470"/>
        <w:gridCol w:w="936"/>
        <w:gridCol w:w="936"/>
      </w:tblGrid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ahoma" w:hAnsi="Tahoma" w:cs="Tahoma" w:hint="eastAsia"/>
                <w:b/>
                <w:sz w:val="16"/>
                <w:szCs w:val="16"/>
              </w:rPr>
              <w:t>试剂组成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ahoma" w:hAnsi="Tahoma" w:cs="Tahoma" w:hint="eastAsia"/>
                <w:b/>
                <w:sz w:val="16"/>
                <w:szCs w:val="16"/>
              </w:rPr>
              <w:t>规格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ahoma" w:hAnsi="Tahoma" w:cs="Tahoma" w:hint="eastAsia"/>
                <w:b/>
                <w:sz w:val="16"/>
                <w:szCs w:val="16"/>
              </w:rPr>
              <w:t>组份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ahoma" w:hAnsi="Tahoma" w:cs="Tahoma" w:hint="eastAsia"/>
                <w:b/>
                <w:sz w:val="16"/>
                <w:szCs w:val="16"/>
              </w:rPr>
              <w:t>浓度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="321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ahoma" w:hAnsi="Tahoma" w:cs="Tahoma" w:hint="eastAsia"/>
                <w:b/>
                <w:sz w:val="16"/>
                <w:szCs w:val="16"/>
              </w:rPr>
              <w:t>保存</w:t>
            </w:r>
          </w:p>
        </w:tc>
      </w:tr>
      <w:tr w:rsidR="004D422A" w:rsidRPr="008B5F9D" w:rsidTr="004D422A">
        <w:tc>
          <w:tcPr>
            <w:tcW w:w="0" w:type="auto"/>
            <w:vMerge w:val="restart"/>
            <w:vAlign w:val="center"/>
          </w:tcPr>
          <w:p w:rsidR="004D422A" w:rsidRPr="008B5F9D" w:rsidRDefault="004D422A" w:rsidP="004D422A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工作液（酶剂）</w:t>
            </w:r>
          </w:p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D422A" w:rsidRPr="008B5F9D" w:rsidRDefault="004D422A" w:rsidP="004D422A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25mL×1</w:t>
            </w:r>
            <w:r w:rsidRPr="008B5F9D">
              <w:rPr>
                <w:rStyle w:val="fontstyle21"/>
                <w:sz w:val="16"/>
                <w:szCs w:val="16"/>
              </w:rPr>
              <w:t>瓶</w:t>
            </w:r>
          </w:p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Tris-HCL</w:t>
            </w:r>
            <w:r w:rsidRPr="008B5F9D">
              <w:rPr>
                <w:rStyle w:val="fontstyle21"/>
                <w:sz w:val="16"/>
                <w:szCs w:val="16"/>
              </w:rPr>
              <w:t>缓冲液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100mmol/L</w:t>
            </w:r>
          </w:p>
        </w:tc>
        <w:tc>
          <w:tcPr>
            <w:tcW w:w="0" w:type="auto"/>
            <w:vMerge w:val="restart"/>
            <w:vAlign w:val="center"/>
          </w:tcPr>
          <w:p w:rsidR="004D422A" w:rsidRPr="008B5F9D" w:rsidRDefault="004D422A" w:rsidP="004D422A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2-8℃避光</w:t>
            </w:r>
          </w:p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脂肪酶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≥3000U/L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ATP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ATP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甘油激酶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="3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≥1000U/L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3-</w:t>
            </w: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磷酸甘油氧化酶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≥5000U/L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过氧化物酶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≥1000U/L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4-</w:t>
            </w: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氨基安替比</w:t>
            </w:r>
            <w:r w:rsidRPr="008B5F9D">
              <w:rPr>
                <w:rFonts w:ascii="宋体" w:hAnsi="宋体" w:hint="eastAsia"/>
                <w:color w:val="000000"/>
                <w:sz w:val="16"/>
                <w:szCs w:val="16"/>
              </w:rPr>
              <w:t>林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1.4mmol/L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宋体" w:hAnsi="宋体"/>
                <w:color w:val="000000"/>
                <w:sz w:val="16"/>
                <w:szCs w:val="16"/>
              </w:rPr>
              <w:t>对氯酚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5F9D">
              <w:rPr>
                <w:rFonts w:ascii="TimesNewRomanPSMT" w:hAnsi="TimesNewRomanPSMT"/>
                <w:color w:val="000000"/>
                <w:sz w:val="16"/>
                <w:szCs w:val="16"/>
              </w:rPr>
              <w:t>3mmol/L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校准品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0.1mL×1支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见标签</w:t>
            </w:r>
          </w:p>
        </w:tc>
        <w:tc>
          <w:tcPr>
            <w:tcW w:w="0" w:type="auto"/>
            <w:vMerge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Style w:val="fontstyle01"/>
                <w:rFonts w:hint="default"/>
                <w:sz w:val="16"/>
                <w:szCs w:val="16"/>
              </w:rPr>
            </w:pPr>
          </w:p>
        </w:tc>
      </w:tr>
      <w:tr w:rsidR="004D422A" w:rsidRPr="008B5F9D" w:rsidTr="004D422A">
        <w:tc>
          <w:tcPr>
            <w:tcW w:w="0" w:type="auto"/>
            <w:gridSpan w:val="4"/>
          </w:tcPr>
          <w:p w:rsidR="004D422A" w:rsidRPr="008B5F9D" w:rsidRDefault="004D422A" w:rsidP="004D422A">
            <w:pPr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附送96孔平底酶标板一块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pStyle w:val="a3"/>
              <w:ind w:firstLineChars="0" w:firstLine="0"/>
              <w:rPr>
                <w:rStyle w:val="fontstyle01"/>
                <w:rFonts w:hint="default"/>
                <w:sz w:val="16"/>
                <w:szCs w:val="16"/>
              </w:rPr>
            </w:pPr>
            <w:r w:rsidRPr="008B5F9D">
              <w:rPr>
                <w:rStyle w:val="fontstyle01"/>
                <w:rFonts w:hint="default"/>
                <w:sz w:val="16"/>
                <w:szCs w:val="16"/>
              </w:rPr>
              <w:t>室温</w:t>
            </w:r>
          </w:p>
        </w:tc>
      </w:tr>
    </w:tbl>
    <w:p w:rsidR="0025240E" w:rsidRDefault="0025240E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产品描述：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本试剂盒采用 GPO-PAP 法配制， 用于体外测定甘油三酯含量。 适用于各型酶标仪。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 xml:space="preserve"> 性能指标：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1、 试剂空白管吸光度≤0.200（ 光径 0.5cm）。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2、 线性： 0.3～11.4mmol/L 范围内， r2＞0.995。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3、 准确度： 相对偏差≤10%。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4、 灵敏度： 测试 2.7mmol/L 被测物时， 吸光度值△A 在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0.2000～0.4000 之间。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5、 重复性： 测量精密度≤5.0%， 批间差≤8.0%。</w:t>
      </w:r>
    </w:p>
    <w:p w:rsidR="004D422A" w:rsidRPr="0023170C" w:rsidRDefault="004D422A" w:rsidP="004D422A">
      <w:pPr>
        <w:widowControl/>
        <w:spacing w:line="240" w:lineRule="auto"/>
        <w:jc w:val="left"/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6、 稳定性： 原包装试剂盒在 2</w:t>
      </w:r>
      <w:r w:rsidRPr="0023170C">
        <w:rPr>
          <w:rFonts w:ascii="宋体" w:hAnsi="宋体" w:hint="eastAsia"/>
          <w:color w:val="000000"/>
          <w:sz w:val="18"/>
          <w:szCs w:val="18"/>
        </w:rPr>
        <w:t>℃</w:t>
      </w:r>
      <w:r w:rsidRPr="0023170C">
        <w:rPr>
          <w:rFonts w:ascii="宋体" w:hAnsi="宋体"/>
          <w:color w:val="000000"/>
          <w:sz w:val="18"/>
          <w:szCs w:val="18"/>
        </w:rPr>
        <w:t>～8</w:t>
      </w:r>
      <w:r w:rsidRPr="0023170C">
        <w:rPr>
          <w:rFonts w:ascii="宋体" w:hAnsi="宋体" w:hint="eastAsia"/>
          <w:color w:val="000000"/>
          <w:sz w:val="18"/>
          <w:szCs w:val="18"/>
        </w:rPr>
        <w:t>℃</w:t>
      </w:r>
      <w:r w:rsidRPr="0023170C">
        <w:rPr>
          <w:rFonts w:ascii="宋体" w:hAnsi="宋体"/>
          <w:color w:val="000000"/>
          <w:sz w:val="18"/>
          <w:szCs w:val="18"/>
        </w:rPr>
        <w:t>避光保存， 有效期为</w:t>
      </w:r>
    </w:p>
    <w:p w:rsidR="004D422A" w:rsidRPr="0023170C" w:rsidRDefault="004D422A" w:rsidP="004D422A">
      <w:pPr>
        <w:rPr>
          <w:rFonts w:ascii="宋体" w:hAnsi="宋体"/>
          <w:color w:val="000000"/>
          <w:sz w:val="18"/>
          <w:szCs w:val="18"/>
        </w:rPr>
      </w:pPr>
      <w:r w:rsidRPr="0023170C">
        <w:rPr>
          <w:rFonts w:ascii="宋体" w:hAnsi="宋体"/>
          <w:color w:val="000000"/>
          <w:sz w:val="18"/>
          <w:szCs w:val="18"/>
        </w:rPr>
        <w:t>12 个月。 开启后 2</w:t>
      </w:r>
      <w:r w:rsidRPr="0023170C">
        <w:rPr>
          <w:rFonts w:ascii="宋体" w:hAnsi="宋体" w:hint="eastAsia"/>
          <w:color w:val="000000"/>
          <w:sz w:val="18"/>
          <w:szCs w:val="18"/>
        </w:rPr>
        <w:t>℃</w:t>
      </w:r>
      <w:r w:rsidRPr="0023170C">
        <w:rPr>
          <w:rFonts w:ascii="宋体" w:hAnsi="宋体"/>
          <w:color w:val="000000"/>
          <w:sz w:val="18"/>
          <w:szCs w:val="18"/>
        </w:rPr>
        <w:t>～8</w:t>
      </w:r>
      <w:r w:rsidRPr="0023170C">
        <w:rPr>
          <w:rFonts w:ascii="宋体" w:hAnsi="宋体" w:hint="eastAsia"/>
          <w:color w:val="000000"/>
          <w:sz w:val="18"/>
          <w:szCs w:val="18"/>
        </w:rPr>
        <w:t>℃</w:t>
      </w:r>
      <w:r w:rsidRPr="0023170C">
        <w:rPr>
          <w:rFonts w:ascii="宋体" w:hAnsi="宋体"/>
          <w:color w:val="000000"/>
          <w:sz w:val="18"/>
          <w:szCs w:val="18"/>
        </w:rPr>
        <w:t>避光可稳定一个月。</w:t>
      </w:r>
    </w:p>
    <w:p w:rsidR="004D422A" w:rsidRDefault="004D422A" w:rsidP="004D422A">
      <w:pPr>
        <w:rPr>
          <w:rFonts w:ascii="Tahoma" w:hAnsi="Tahoma" w:cs="Tahoma"/>
          <w:b/>
          <w:sz w:val="28"/>
          <w:szCs w:val="28"/>
        </w:rPr>
      </w:pPr>
    </w:p>
    <w:p w:rsidR="009B59E3" w:rsidRPr="00721997" w:rsidRDefault="00701FDD" w:rsidP="0077784D">
      <w:pPr>
        <w:rPr>
          <w:rFonts w:ascii="Calibri" w:hAnsi="Calibri"/>
        </w:rPr>
      </w:pPr>
      <w:r>
        <w:rPr>
          <w:rStyle w:val="fontstyle01"/>
          <w:rFonts w:hint="default"/>
        </w:rPr>
        <w:t>三、</w:t>
      </w:r>
      <w:r w:rsidR="007034BA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44299E">
        <w:rPr>
          <w:rFonts w:ascii="Tahoma" w:hAnsi="Tahoma" w:cs="Tahoma" w:hint="eastAsia"/>
          <w:b/>
          <w:sz w:val="24"/>
          <w:szCs w:val="24"/>
        </w:rPr>
        <w:t>步骤：</w:t>
      </w:r>
    </w:p>
    <w:p w:rsidR="00701FDD" w:rsidRPr="00701FDD" w:rsidRDefault="004E0B34" w:rsidP="00701FDD">
      <w:pPr>
        <w:widowControl/>
        <w:spacing w:line="240" w:lineRule="auto"/>
        <w:jc w:val="left"/>
        <w:rPr>
          <w:rFonts w:ascii="TimesNewRomanPS-BoldMT" w:hAnsi="TimesNewRomanPS-BoldMT" w:cs="宋体" w:hint="eastAsia"/>
          <w:b/>
          <w:bCs/>
          <w:color w:val="000000"/>
          <w:kern w:val="0"/>
          <w:sz w:val="18"/>
          <w:szCs w:val="18"/>
        </w:rPr>
      </w:pPr>
      <w:r>
        <w:rPr>
          <w:rFonts w:ascii="TimesNewRomanPS-BoldMT" w:hAnsi="TimesNewRomanPS-BoldMT" w:cs="宋体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1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、样本处理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:</w:t>
      </w:r>
    </w:p>
    <w:p w:rsidR="00701FDD" w:rsidRPr="00701FDD" w:rsidRDefault="004E0B34" w:rsidP="00701FD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①、血清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(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浆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)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：直接测定，如超过线性范围用生理盐水稀释后测定。</w:t>
      </w:r>
    </w:p>
    <w:p w:rsidR="00701FDD" w:rsidRPr="00701FDD" w:rsidRDefault="004E0B34" w:rsidP="00701FD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②、培养液样本：吸取培养液，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1000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/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10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分钟，取上清测定。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[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]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：一般建议细胞密度在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100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万个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/mL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以上。</w:t>
      </w:r>
    </w:p>
    <w:p w:rsidR="00701FDD" w:rsidRPr="00701FDD" w:rsidRDefault="004E0B34" w:rsidP="00701FD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③、组织样本：准确称取组织重量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,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按重量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(g)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：体积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(mL)=1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：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9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的比例，加入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9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倍体积的匀浆介质，冰水浴条件下机械匀浆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,2500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/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分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,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离心</w:t>
      </w:r>
      <w:r w:rsidR="00701FDD" w:rsidRPr="00701FDD">
        <w:rPr>
          <w:rFonts w:ascii="TimesNewRomanPSMT" w:hAnsi="TimesNewRomanPSMT" w:cs="宋体"/>
          <w:color w:val="000000"/>
          <w:kern w:val="0"/>
          <w:sz w:val="18"/>
        </w:rPr>
        <w:t>10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分钟，取上清液待测。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[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]: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如组织样本为非高脂样本，匀浆介质用磷酸盐缓冲液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(0.1mol/LpH7.4)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或生理盐水（</w:t>
      </w:r>
      <w:r w:rsidR="00701FDD" w:rsidRPr="00701FDD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0.9%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）进行提取；如组织样本为高脂样本或部分为高脂样本，匀浆介质可统一用无水乙醇进行提取。</w:t>
      </w:r>
    </w:p>
    <w:p w:rsidR="00701FDD" w:rsidRPr="00701FDD" w:rsidRDefault="004E0B34" w:rsidP="00701FDD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 </w:t>
      </w:r>
      <w:r w:rsidR="00701FDD" w:rsidRPr="00701FDD">
        <w:rPr>
          <w:rFonts w:ascii="宋体" w:hAnsi="宋体" w:cs="宋体"/>
          <w:color w:val="000000"/>
          <w:kern w:val="0"/>
          <w:sz w:val="18"/>
          <w:szCs w:val="18"/>
        </w:rPr>
        <w:t>④、细胞样本：</w:t>
      </w:r>
    </w:p>
    <w:p w:rsidR="00701FDD" w:rsidRPr="004D422A" w:rsidRDefault="00701FDD" w:rsidP="004D422A">
      <w:pPr>
        <w:pStyle w:val="a3"/>
        <w:widowControl/>
        <w:numPr>
          <w:ilvl w:val="0"/>
          <w:numId w:val="16"/>
        </w:numPr>
        <w:ind w:firstLineChars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4D422A">
        <w:rPr>
          <w:rFonts w:ascii="宋体" w:hAnsi="宋体" w:cs="宋体"/>
          <w:color w:val="000000"/>
          <w:kern w:val="0"/>
          <w:sz w:val="18"/>
          <w:szCs w:val="18"/>
        </w:rPr>
        <w:t>细胞收集</w:t>
      </w:r>
      <w:r w:rsidRPr="004D422A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: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将制备好的细胞悬液取出，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1000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/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分钟，弃上清液，留细胞沉淀；用等渗缓冲液（推荐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0.1mol/L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pH7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7.4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磷酸盐缓冲液）清洗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2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次，同样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1000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/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分钟，弃上清液，留细胞沉淀；</w:t>
      </w:r>
      <w:r w:rsidRPr="004D422A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B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、细胞破碎</w:t>
      </w:r>
      <w:r w:rsidRPr="004D422A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: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加入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0.2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0.3mL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的匀浆介质（推荐</w:t>
      </w:r>
      <w:r w:rsidRPr="004D422A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0.1mol/LpH7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7.4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磷酸盐缓冲液或生理盐水）</w:t>
      </w:r>
      <w:r w:rsidRPr="004D422A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进行匀浆，冰水浴条件下超声破碎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(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功率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:300W,3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5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秒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/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次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,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间隔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30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秒，重复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3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5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次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)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或手动匀浆，制备好的匀浆液不离心直接测定。也可采用裂解液裂解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(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推荐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TritonX-100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，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1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2%,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裂解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30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40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分钟</w:t>
      </w:r>
      <w:r w:rsidRPr="004D422A">
        <w:rPr>
          <w:rFonts w:ascii="TimesNewRomanPSMT" w:hAnsi="TimesNewRomanPSMT" w:cs="宋体"/>
          <w:color w:val="000000"/>
          <w:kern w:val="0"/>
          <w:sz w:val="18"/>
        </w:rPr>
        <w:t>),</w:t>
      </w:r>
      <w:r w:rsidRPr="004D422A">
        <w:rPr>
          <w:rFonts w:ascii="宋体" w:hAnsi="宋体" w:cs="宋体"/>
          <w:color w:val="000000"/>
          <w:kern w:val="0"/>
          <w:sz w:val="18"/>
          <w:szCs w:val="18"/>
        </w:rPr>
        <w:t>裂解好的液体不离心直接测定。</w:t>
      </w:r>
      <w:r w:rsidRPr="004D422A">
        <w:rPr>
          <w:rFonts w:ascii="宋体" w:hAnsi="宋体" w:cs="宋体" w:hint="eastAsia"/>
          <w:color w:val="000000"/>
          <w:kern w:val="0"/>
          <w:sz w:val="18"/>
          <w:szCs w:val="18"/>
        </w:rPr>
        <w:t>操作表：</w:t>
      </w:r>
    </w:p>
    <w:tbl>
      <w:tblPr>
        <w:tblStyle w:val="a7"/>
        <w:tblpPr w:leftFromText="180" w:rightFromText="180" w:vertAnchor="text" w:horzAnchor="margin" w:tblpY="110"/>
        <w:tblOverlap w:val="never"/>
        <w:tblW w:w="0" w:type="auto"/>
        <w:tblLook w:val="04A0"/>
      </w:tblPr>
      <w:tblGrid>
        <w:gridCol w:w="2018"/>
        <w:gridCol w:w="1062"/>
        <w:gridCol w:w="1062"/>
        <w:gridCol w:w="1062"/>
      </w:tblGrid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空白孔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标准孔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样本孔</w:t>
            </w:r>
          </w:p>
        </w:tc>
      </w:tr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蒸馏水（ μL）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2.5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</w:tr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校准品（ μL）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2.5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</w:tr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样本（ μL）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2.5</w:t>
            </w:r>
          </w:p>
        </w:tc>
      </w:tr>
      <w:tr w:rsidR="004D422A" w:rsidRPr="008B5F9D" w:rsidTr="004D422A"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工作液（ μL）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</w:tcPr>
          <w:p w:rsidR="004D422A" w:rsidRPr="008B5F9D" w:rsidRDefault="004D422A" w:rsidP="004D422A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250</w:t>
            </w:r>
          </w:p>
        </w:tc>
      </w:tr>
      <w:tr w:rsidR="004D422A" w:rsidRPr="008B5F9D" w:rsidTr="004D422A">
        <w:tc>
          <w:tcPr>
            <w:tcW w:w="0" w:type="auto"/>
            <w:gridSpan w:val="4"/>
          </w:tcPr>
          <w:p w:rsidR="004D422A" w:rsidRPr="008B5F9D" w:rsidRDefault="004D422A" w:rsidP="004D422A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5"/>
                <w:szCs w:val="15"/>
              </w:rPr>
            </w:pPr>
            <w:r w:rsidRPr="008B5F9D">
              <w:rPr>
                <w:rStyle w:val="fontstyle01"/>
                <w:rFonts w:cs="宋体" w:hint="default"/>
                <w:kern w:val="0"/>
                <w:sz w:val="15"/>
                <w:szCs w:val="15"/>
              </w:rPr>
              <w:t>震荡孔板混匀，37℃孵育10分钟，波长500nm，酶标仪测定各孔吸光度值。</w:t>
            </w:r>
          </w:p>
        </w:tc>
      </w:tr>
    </w:tbl>
    <w:p w:rsidR="00E36561" w:rsidRPr="004D422A" w:rsidRDefault="00E36561" w:rsidP="004D422A">
      <w:pPr>
        <w:widowControl/>
        <w:spacing w:line="240" w:lineRule="auto"/>
        <w:jc w:val="left"/>
        <w:rPr>
          <w:rFonts w:ascii="Tahoma" w:hAnsi="Tahoma" w:cs="Tahoma"/>
          <w:bCs/>
          <w:sz w:val="22"/>
        </w:rPr>
      </w:pPr>
      <w:r w:rsidRPr="004D422A">
        <w:rPr>
          <w:rFonts w:ascii="Tahoma" w:hAnsi="Tahoma" w:cs="Tahoma" w:hint="eastAsia"/>
          <w:bCs/>
          <w:szCs w:val="21"/>
        </w:rPr>
        <w:t>注意事项</w:t>
      </w:r>
      <w:r w:rsidRPr="004D422A">
        <w:rPr>
          <w:rFonts w:ascii="Tahoma" w:hAnsi="Tahoma" w:cs="Tahoma" w:hint="eastAsia"/>
          <w:bCs/>
          <w:sz w:val="22"/>
        </w:rPr>
        <w:t>：</w:t>
      </w:r>
    </w:p>
    <w:p w:rsidR="0077784D" w:rsidRPr="0077784D" w:rsidRDefault="0077784D" w:rsidP="00C01EE2">
      <w:pPr>
        <w:pStyle w:val="a3"/>
        <w:widowControl/>
        <w:numPr>
          <w:ilvl w:val="0"/>
          <w:numId w:val="15"/>
        </w:numPr>
        <w:ind w:firstLineChars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7784D">
        <w:rPr>
          <w:rFonts w:ascii="宋体" w:hAnsi="宋体" w:cs="宋体"/>
          <w:color w:val="000000"/>
          <w:kern w:val="0"/>
          <w:sz w:val="18"/>
          <w:szCs w:val="18"/>
        </w:rPr>
        <w:t>本产品仅用于科研，不得用于临床诊断，切勿服用。</w:t>
      </w:r>
    </w:p>
    <w:p w:rsidR="0077784D" w:rsidRPr="0077784D" w:rsidRDefault="0077784D" w:rsidP="00C01EE2">
      <w:pPr>
        <w:pStyle w:val="a3"/>
        <w:widowControl/>
        <w:numPr>
          <w:ilvl w:val="0"/>
          <w:numId w:val="15"/>
        </w:numPr>
        <w:ind w:firstLineChars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7784D">
        <w:rPr>
          <w:rFonts w:ascii="宋体" w:hAnsi="宋体" w:cs="宋体"/>
          <w:color w:val="000000"/>
          <w:kern w:val="0"/>
          <w:sz w:val="18"/>
          <w:szCs w:val="18"/>
        </w:rPr>
        <w:t>样品含量如超出检测范围上限时，可用生理盐水稀释样本后进行测定，测定结果乘以稀释倍数。</w:t>
      </w:r>
    </w:p>
    <w:p w:rsidR="0077784D" w:rsidRPr="0077784D" w:rsidRDefault="0077784D" w:rsidP="00C01EE2">
      <w:pPr>
        <w:pStyle w:val="a3"/>
        <w:widowControl/>
        <w:numPr>
          <w:ilvl w:val="0"/>
          <w:numId w:val="15"/>
        </w:numPr>
        <w:ind w:firstLineChars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77784D">
        <w:rPr>
          <w:rFonts w:ascii="宋体" w:hAnsi="宋体" w:cs="宋体"/>
          <w:color w:val="000000"/>
          <w:kern w:val="0"/>
          <w:sz w:val="18"/>
          <w:szCs w:val="18"/>
        </w:rPr>
        <w:t>试剂防止葡萄糖、胆固醇等试剂的污染。</w:t>
      </w:r>
    </w:p>
    <w:p w:rsidR="00A005E7" w:rsidRPr="00C3249B" w:rsidRDefault="0077784D" w:rsidP="008B5F9D">
      <w:pPr>
        <w:pStyle w:val="a3"/>
        <w:widowControl/>
        <w:numPr>
          <w:ilvl w:val="0"/>
          <w:numId w:val="15"/>
        </w:numPr>
        <w:ind w:firstLineChars="0"/>
        <w:jc w:val="left"/>
        <w:rPr>
          <w:rFonts w:ascii="宋体" w:hAnsi="宋体"/>
          <w:color w:val="000000"/>
          <w:sz w:val="22"/>
        </w:rPr>
      </w:pPr>
      <w:r w:rsidRPr="0077784D">
        <w:rPr>
          <w:rFonts w:ascii="宋体" w:hAnsi="宋体" w:cs="宋体"/>
          <w:color w:val="000000"/>
          <w:kern w:val="0"/>
          <w:sz w:val="18"/>
          <w:szCs w:val="18"/>
        </w:rPr>
        <w:t>试剂与样本量可按照全自动生化分析仪的要求，按照</w:t>
      </w:r>
      <w:r w:rsidRPr="0077784D">
        <w:rPr>
          <w:rFonts w:ascii="TimesNewRomanPSMT" w:hAnsi="TimesNewRomanPSMT" w:cs="宋体"/>
          <w:color w:val="000000"/>
          <w:kern w:val="0"/>
          <w:sz w:val="18"/>
        </w:rPr>
        <w:t>1</w:t>
      </w:r>
      <w:r w:rsidRPr="0077784D">
        <w:rPr>
          <w:rFonts w:ascii="宋体" w:hAnsi="宋体" w:cs="宋体"/>
          <w:color w:val="000000"/>
          <w:kern w:val="0"/>
          <w:sz w:val="18"/>
          <w:szCs w:val="18"/>
        </w:rPr>
        <w:t>：</w:t>
      </w:r>
      <w:r w:rsidRPr="0077784D">
        <w:rPr>
          <w:rFonts w:ascii="TimesNewRomanPSMT" w:hAnsi="TimesNewRomanPSMT" w:cs="宋体"/>
          <w:color w:val="000000"/>
          <w:kern w:val="0"/>
          <w:sz w:val="18"/>
        </w:rPr>
        <w:t>100</w:t>
      </w:r>
      <w:r w:rsidRPr="0077784D">
        <w:rPr>
          <w:rFonts w:ascii="宋体" w:hAnsi="宋体" w:cs="宋体"/>
          <w:color w:val="000000"/>
          <w:kern w:val="0"/>
          <w:sz w:val="18"/>
          <w:szCs w:val="18"/>
        </w:rPr>
        <w:t>的比例增减。</w:t>
      </w:r>
    </w:p>
    <w:p w:rsidR="00C3249B" w:rsidRPr="00C3249B" w:rsidRDefault="00C3249B" w:rsidP="00C3249B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C3249B">
        <w:rPr>
          <w:rFonts w:ascii="宋体" w:hAnsi="宋体" w:cs="宋体"/>
          <w:color w:val="000000"/>
          <w:kern w:val="0"/>
          <w:sz w:val="18"/>
          <w:szCs w:val="18"/>
        </w:rPr>
        <w:t>参考文献：</w:t>
      </w:r>
    </w:p>
    <w:p w:rsidR="00C3249B" w:rsidRPr="00C3249B" w:rsidRDefault="00C3249B" w:rsidP="00C3249B">
      <w:pPr>
        <w:widowControl/>
        <w:spacing w:line="240" w:lineRule="auto"/>
        <w:jc w:val="left"/>
        <w:rPr>
          <w:rStyle w:val="fontstyle01"/>
          <w:rFonts w:cs="宋体" w:hint="default"/>
          <w:kern w:val="0"/>
          <w:sz w:val="18"/>
          <w:szCs w:val="18"/>
        </w:rPr>
      </w:pPr>
      <w:r w:rsidRPr="00C3249B">
        <w:rPr>
          <w:rFonts w:ascii="TimesNewRomanPS-BoldMT" w:hAnsi="TimesNewRomanPS-BoldMT" w:cs="宋体"/>
          <w:b/>
          <w:bCs/>
          <w:color w:val="000000"/>
          <w:kern w:val="0"/>
          <w:sz w:val="18"/>
          <w:szCs w:val="18"/>
        </w:rPr>
        <w:t>1</w:t>
      </w:r>
      <w:r w:rsidRPr="00C3249B">
        <w:rPr>
          <w:rFonts w:ascii="宋体" w:hAnsi="宋体" w:cs="宋体"/>
          <w:color w:val="000000"/>
          <w:kern w:val="0"/>
          <w:sz w:val="18"/>
          <w:szCs w:val="18"/>
        </w:rPr>
        <w:t xml:space="preserve">、 叶应妩、 王毓三 全国临床检验操作规程 第三版， 东南大学出版社， </w:t>
      </w:r>
      <w:r w:rsidRPr="00C3249B">
        <w:rPr>
          <w:rFonts w:ascii="TimesNewRomanPSMT" w:hAnsi="TimesNewRomanPSMT" w:cs="宋体"/>
          <w:color w:val="000000"/>
          <w:kern w:val="0"/>
          <w:sz w:val="18"/>
        </w:rPr>
        <w:t>2006</w:t>
      </w:r>
      <w:r w:rsidRPr="00C3249B">
        <w:rPr>
          <w:rFonts w:ascii="宋体" w:hAnsi="宋体" w:cs="宋体"/>
          <w:color w:val="000000"/>
          <w:kern w:val="0"/>
          <w:sz w:val="18"/>
          <w:szCs w:val="18"/>
        </w:rPr>
        <w:t xml:space="preserve">， </w:t>
      </w:r>
      <w:r w:rsidRPr="00C3249B">
        <w:rPr>
          <w:rFonts w:ascii="TimesNewRomanPSMT" w:hAnsi="TimesNewRomanPSMT" w:cs="宋体"/>
          <w:color w:val="000000"/>
          <w:kern w:val="0"/>
          <w:sz w:val="18"/>
        </w:rPr>
        <w:t>P479</w:t>
      </w:r>
      <w:r w:rsidRPr="00C3249B">
        <w:rPr>
          <w:rFonts w:ascii="宋体" w:hAnsi="宋体" w:cs="宋体"/>
          <w:color w:val="000000"/>
          <w:kern w:val="0"/>
          <w:sz w:val="18"/>
          <w:szCs w:val="18"/>
        </w:rPr>
        <w:t>。</w:t>
      </w:r>
    </w:p>
    <w:sectPr w:rsidR="00C3249B" w:rsidRPr="00C3249B" w:rsidSect="00F968C2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CF" w:rsidRDefault="001929CF" w:rsidP="00D16204">
      <w:pPr>
        <w:spacing w:line="240" w:lineRule="auto"/>
      </w:pPr>
      <w:r>
        <w:separator/>
      </w:r>
    </w:p>
  </w:endnote>
  <w:endnote w:type="continuationSeparator" w:id="1">
    <w:p w:rsidR="001929CF" w:rsidRDefault="001929CF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2228"/>
      <w:docPartObj>
        <w:docPartGallery w:val="Page Numbers (Bottom of Page)"/>
        <w:docPartUnique/>
      </w:docPartObj>
    </w:sdtPr>
    <w:sdtContent>
      <w:p w:rsidR="00F968C2" w:rsidRDefault="004657B4">
        <w:pPr>
          <w:pStyle w:val="a5"/>
        </w:pPr>
        <w:fldSimple w:instr=" PAGE   \* MERGEFORMAT ">
          <w:r w:rsidR="0024797D" w:rsidRPr="0024797D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CF" w:rsidRDefault="001929CF" w:rsidP="00D16204">
      <w:pPr>
        <w:spacing w:line="240" w:lineRule="auto"/>
      </w:pPr>
      <w:r>
        <w:separator/>
      </w:r>
    </w:p>
  </w:footnote>
  <w:footnote w:type="continuationSeparator" w:id="1">
    <w:p w:rsidR="001929CF" w:rsidRDefault="001929CF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1822A5">
    <w:pPr>
      <w:pStyle w:val="a4"/>
      <w:pBdr>
        <w:bottom w:val="thickThinSmallGap" w:sz="24" w:space="0" w:color="622423" w:themeColor="accent2" w:themeShade="7F"/>
      </w:pBdr>
      <w:ind w:firstLineChars="2550" w:firstLine="459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C9295A">
          <w:rPr>
            <w:rFonts w:asciiTheme="majorHAnsi" w:hAnsiTheme="majorHAnsi" w:hint="eastAsia"/>
            <w:kern w:val="0"/>
          </w:rPr>
          <w:t xml:space="preserve">                                            </w:t>
        </w:r>
        <w:r w:rsidR="00C9295A">
          <w:rPr>
            <w:rFonts w:asciiTheme="majorHAnsi" w:hAnsiTheme="majorHAnsi" w:hint="eastAsia"/>
            <w:kern w:val="0"/>
          </w:rPr>
          <w:t>北京谱阅生物技术有限公司</w:t>
        </w:r>
        <w:r w:rsidR="00C9295A">
          <w:rPr>
            <w:rFonts w:asciiTheme="majorHAnsi" w:hAnsiTheme="majorHAnsi" w:hint="eastAsia"/>
            <w:kern w:val="0"/>
          </w:rPr>
          <w:t xml:space="preserve">                                                                         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73AE9"/>
    <w:multiLevelType w:val="hybridMultilevel"/>
    <w:tmpl w:val="97FE773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81212E"/>
    <w:multiLevelType w:val="hybridMultilevel"/>
    <w:tmpl w:val="1A0EF3FA"/>
    <w:lvl w:ilvl="0" w:tplc="E41CBB3A">
      <w:start w:val="1"/>
      <w:numFmt w:val="upperLetter"/>
      <w:lvlText w:val="%1、"/>
      <w:lvlJc w:val="left"/>
      <w:pPr>
        <w:ind w:left="81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1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2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2264D8"/>
    <w:multiLevelType w:val="hybridMultilevel"/>
    <w:tmpl w:val="97FE773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7677D0"/>
    <w:multiLevelType w:val="hybridMultilevel"/>
    <w:tmpl w:val="779049B8"/>
    <w:lvl w:ilvl="0" w:tplc="A61E7FD6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0"/>
  </w:num>
  <w:num w:numId="12">
    <w:abstractNumId w:val="14"/>
  </w:num>
  <w:num w:numId="13">
    <w:abstractNumId w:val="5"/>
  </w:num>
  <w:num w:numId="14">
    <w:abstractNumId w:val="6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1347D"/>
    <w:rsid w:val="00047E86"/>
    <w:rsid w:val="00050817"/>
    <w:rsid w:val="00075FB9"/>
    <w:rsid w:val="00077C8B"/>
    <w:rsid w:val="00097790"/>
    <w:rsid w:val="00097D7F"/>
    <w:rsid w:val="000B6CB7"/>
    <w:rsid w:val="000F6911"/>
    <w:rsid w:val="000F7722"/>
    <w:rsid w:val="00165271"/>
    <w:rsid w:val="001671F1"/>
    <w:rsid w:val="001741E5"/>
    <w:rsid w:val="001822A5"/>
    <w:rsid w:val="0019085B"/>
    <w:rsid w:val="001929CF"/>
    <w:rsid w:val="00195B0B"/>
    <w:rsid w:val="001F5E22"/>
    <w:rsid w:val="002036B0"/>
    <w:rsid w:val="00216590"/>
    <w:rsid w:val="0023170C"/>
    <w:rsid w:val="0024797D"/>
    <w:rsid w:val="002517EE"/>
    <w:rsid w:val="0025240E"/>
    <w:rsid w:val="0026157A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21B3"/>
    <w:rsid w:val="003665B1"/>
    <w:rsid w:val="003703D3"/>
    <w:rsid w:val="003903F8"/>
    <w:rsid w:val="0039718F"/>
    <w:rsid w:val="003A158B"/>
    <w:rsid w:val="003B2C3E"/>
    <w:rsid w:val="003C6032"/>
    <w:rsid w:val="003E4506"/>
    <w:rsid w:val="003E4999"/>
    <w:rsid w:val="003E717C"/>
    <w:rsid w:val="00401760"/>
    <w:rsid w:val="00436C85"/>
    <w:rsid w:val="004415DA"/>
    <w:rsid w:val="0044299E"/>
    <w:rsid w:val="00460917"/>
    <w:rsid w:val="0046326A"/>
    <w:rsid w:val="004657B4"/>
    <w:rsid w:val="00493DDF"/>
    <w:rsid w:val="004C57F4"/>
    <w:rsid w:val="004D422A"/>
    <w:rsid w:val="004E0B34"/>
    <w:rsid w:val="00531C29"/>
    <w:rsid w:val="00533FBB"/>
    <w:rsid w:val="00536D57"/>
    <w:rsid w:val="00541870"/>
    <w:rsid w:val="00570510"/>
    <w:rsid w:val="00571345"/>
    <w:rsid w:val="00576389"/>
    <w:rsid w:val="005B1738"/>
    <w:rsid w:val="005D00A0"/>
    <w:rsid w:val="005D2B5D"/>
    <w:rsid w:val="005F2190"/>
    <w:rsid w:val="00605D1D"/>
    <w:rsid w:val="00641C25"/>
    <w:rsid w:val="006562FF"/>
    <w:rsid w:val="00662B98"/>
    <w:rsid w:val="00666902"/>
    <w:rsid w:val="00666DE7"/>
    <w:rsid w:val="0068150B"/>
    <w:rsid w:val="00683D84"/>
    <w:rsid w:val="006B192D"/>
    <w:rsid w:val="006C32E9"/>
    <w:rsid w:val="006E3645"/>
    <w:rsid w:val="006F2FAF"/>
    <w:rsid w:val="006F7953"/>
    <w:rsid w:val="00701FDD"/>
    <w:rsid w:val="007034BA"/>
    <w:rsid w:val="00705021"/>
    <w:rsid w:val="00706D92"/>
    <w:rsid w:val="00721997"/>
    <w:rsid w:val="00732573"/>
    <w:rsid w:val="00735160"/>
    <w:rsid w:val="0075551D"/>
    <w:rsid w:val="00760526"/>
    <w:rsid w:val="00772E59"/>
    <w:rsid w:val="0077784D"/>
    <w:rsid w:val="007A4B56"/>
    <w:rsid w:val="007A67D3"/>
    <w:rsid w:val="007B505A"/>
    <w:rsid w:val="007C1533"/>
    <w:rsid w:val="007D3BD3"/>
    <w:rsid w:val="007D5A84"/>
    <w:rsid w:val="007E1E3D"/>
    <w:rsid w:val="0081218C"/>
    <w:rsid w:val="008307E8"/>
    <w:rsid w:val="00846DD0"/>
    <w:rsid w:val="00860613"/>
    <w:rsid w:val="008753AB"/>
    <w:rsid w:val="008A676B"/>
    <w:rsid w:val="008B5F9D"/>
    <w:rsid w:val="008B6589"/>
    <w:rsid w:val="008D7D39"/>
    <w:rsid w:val="008F763E"/>
    <w:rsid w:val="009153A3"/>
    <w:rsid w:val="00927047"/>
    <w:rsid w:val="00933692"/>
    <w:rsid w:val="009405E8"/>
    <w:rsid w:val="00941A9E"/>
    <w:rsid w:val="00947F55"/>
    <w:rsid w:val="009624D8"/>
    <w:rsid w:val="0096256F"/>
    <w:rsid w:val="00966D49"/>
    <w:rsid w:val="0099074A"/>
    <w:rsid w:val="00993991"/>
    <w:rsid w:val="00993A94"/>
    <w:rsid w:val="00996C04"/>
    <w:rsid w:val="009B0BD5"/>
    <w:rsid w:val="009B59E3"/>
    <w:rsid w:val="009C2B68"/>
    <w:rsid w:val="009C5BA2"/>
    <w:rsid w:val="009D1A64"/>
    <w:rsid w:val="009E2F98"/>
    <w:rsid w:val="009E40E8"/>
    <w:rsid w:val="00A005E7"/>
    <w:rsid w:val="00A02400"/>
    <w:rsid w:val="00A07F1E"/>
    <w:rsid w:val="00A42772"/>
    <w:rsid w:val="00A56F2C"/>
    <w:rsid w:val="00A6312F"/>
    <w:rsid w:val="00A6455A"/>
    <w:rsid w:val="00A915B1"/>
    <w:rsid w:val="00AA3C8F"/>
    <w:rsid w:val="00AC019D"/>
    <w:rsid w:val="00AC45DC"/>
    <w:rsid w:val="00B04CBD"/>
    <w:rsid w:val="00B11436"/>
    <w:rsid w:val="00B14D91"/>
    <w:rsid w:val="00B2776D"/>
    <w:rsid w:val="00B3319B"/>
    <w:rsid w:val="00B3483A"/>
    <w:rsid w:val="00B3624E"/>
    <w:rsid w:val="00B52D6F"/>
    <w:rsid w:val="00B86E71"/>
    <w:rsid w:val="00B92097"/>
    <w:rsid w:val="00B932DC"/>
    <w:rsid w:val="00B977C2"/>
    <w:rsid w:val="00BB4BE8"/>
    <w:rsid w:val="00BD0CAE"/>
    <w:rsid w:val="00C01EE2"/>
    <w:rsid w:val="00C10398"/>
    <w:rsid w:val="00C3249B"/>
    <w:rsid w:val="00C33B0D"/>
    <w:rsid w:val="00C6703F"/>
    <w:rsid w:val="00C9295A"/>
    <w:rsid w:val="00CD3FA1"/>
    <w:rsid w:val="00D006EE"/>
    <w:rsid w:val="00D038C2"/>
    <w:rsid w:val="00D10CC7"/>
    <w:rsid w:val="00D16204"/>
    <w:rsid w:val="00D64FBE"/>
    <w:rsid w:val="00DA3216"/>
    <w:rsid w:val="00DB3AA7"/>
    <w:rsid w:val="00DD0D99"/>
    <w:rsid w:val="00DE3A07"/>
    <w:rsid w:val="00E34BD9"/>
    <w:rsid w:val="00E36561"/>
    <w:rsid w:val="00E440CF"/>
    <w:rsid w:val="00E501CA"/>
    <w:rsid w:val="00E52487"/>
    <w:rsid w:val="00E71399"/>
    <w:rsid w:val="00E9757E"/>
    <w:rsid w:val="00EA36AD"/>
    <w:rsid w:val="00EB1FB3"/>
    <w:rsid w:val="00ED4C1E"/>
    <w:rsid w:val="00ED632A"/>
    <w:rsid w:val="00ED684A"/>
    <w:rsid w:val="00F16958"/>
    <w:rsid w:val="00F43908"/>
    <w:rsid w:val="00F60455"/>
    <w:rsid w:val="00F60494"/>
    <w:rsid w:val="00F63A2F"/>
    <w:rsid w:val="00F968C2"/>
    <w:rsid w:val="00FA144D"/>
    <w:rsid w:val="00FC1BC8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 strokecolor="none"/>
    </o:shapedefaults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6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025989"/>
    <w:rsid w:val="00174664"/>
    <w:rsid w:val="00201915"/>
    <w:rsid w:val="00231AD3"/>
    <w:rsid w:val="00244D88"/>
    <w:rsid w:val="00285473"/>
    <w:rsid w:val="002B1D2F"/>
    <w:rsid w:val="002C72FF"/>
    <w:rsid w:val="002D0013"/>
    <w:rsid w:val="00353244"/>
    <w:rsid w:val="00384EE6"/>
    <w:rsid w:val="003D0A8B"/>
    <w:rsid w:val="003E2A14"/>
    <w:rsid w:val="003E7494"/>
    <w:rsid w:val="003F3625"/>
    <w:rsid w:val="004F2FF0"/>
    <w:rsid w:val="006B1BB1"/>
    <w:rsid w:val="006B4219"/>
    <w:rsid w:val="006C61B8"/>
    <w:rsid w:val="00706688"/>
    <w:rsid w:val="007F06ED"/>
    <w:rsid w:val="007F5D29"/>
    <w:rsid w:val="0085332B"/>
    <w:rsid w:val="0092274A"/>
    <w:rsid w:val="009722F1"/>
    <w:rsid w:val="00A2427A"/>
    <w:rsid w:val="00A85E4C"/>
    <w:rsid w:val="00AA20C7"/>
    <w:rsid w:val="00B850B9"/>
    <w:rsid w:val="00D31FF0"/>
    <w:rsid w:val="00DC4640"/>
    <w:rsid w:val="00E7200F"/>
    <w:rsid w:val="00EF418A"/>
    <w:rsid w:val="00F207D0"/>
    <w:rsid w:val="00F25C3F"/>
    <w:rsid w:val="00F536C2"/>
    <w:rsid w:val="00F54680"/>
    <w:rsid w:val="00FA06DF"/>
    <w:rsid w:val="00F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1431</Characters>
  <Application>Microsoft Office Word</Application>
  <DocSecurity>0</DocSecurity>
  <Lines>11</Lines>
  <Paragraphs>3</Paragraphs>
  <ScaleCrop>false</ScaleCrop>
  <Company>XiTongPan.Com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北京谱阅生物技术有限公司                                                                         </dc:title>
  <dc:creator>基谱生物</dc:creator>
  <cp:lastModifiedBy>Windows 用户</cp:lastModifiedBy>
  <cp:revision>25</cp:revision>
  <cp:lastPrinted>2024-09-30T06:51:00Z</cp:lastPrinted>
  <dcterms:created xsi:type="dcterms:W3CDTF">2024-12-12T08:22:00Z</dcterms:created>
  <dcterms:modified xsi:type="dcterms:W3CDTF">2024-12-23T09:04:00Z</dcterms:modified>
</cp:coreProperties>
</file>