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Default="00ED7BA7" w:rsidP="00ED7BA7">
      <w:pPr>
        <w:jc w:val="center"/>
        <w:rPr>
          <w:rFonts w:ascii="Calibri" w:hAnsi="Calibri"/>
          <w:b/>
          <w:sz w:val="24"/>
          <w:szCs w:val="24"/>
        </w:rPr>
      </w:pPr>
      <w:r w:rsidRPr="00ED7BA7">
        <w:rPr>
          <w:rFonts w:ascii="Calibri" w:hAnsi="Calibri"/>
          <w:b/>
          <w:sz w:val="32"/>
          <w:szCs w:val="32"/>
        </w:rPr>
        <w:t>游离脂肪酸</w:t>
      </w:r>
      <w:r>
        <w:rPr>
          <w:rFonts w:ascii="Calibri" w:hAnsi="Calibri" w:hint="eastAsia"/>
          <w:b/>
          <w:sz w:val="32"/>
          <w:szCs w:val="32"/>
        </w:rPr>
        <w:t>（</w:t>
      </w:r>
      <w:r>
        <w:rPr>
          <w:rFonts w:ascii="Calibri" w:hAnsi="Calibri" w:hint="eastAsia"/>
          <w:b/>
          <w:sz w:val="32"/>
          <w:szCs w:val="32"/>
        </w:rPr>
        <w:t>FFA</w:t>
      </w:r>
      <w:r w:rsidR="00EA2A96">
        <w:rPr>
          <w:rFonts w:ascii="Calibri" w:hAnsi="Calibri" w:hint="eastAsia"/>
          <w:b/>
          <w:sz w:val="32"/>
          <w:szCs w:val="32"/>
        </w:rPr>
        <w:t>）含量测定试剂盒</w:t>
      </w:r>
      <w:r w:rsidR="00746860">
        <w:rPr>
          <w:rFonts w:ascii="Calibri" w:hAnsi="Calibri" w:hint="eastAsia"/>
          <w:b/>
          <w:sz w:val="32"/>
          <w:szCs w:val="32"/>
        </w:rPr>
        <w:t>说明书</w:t>
      </w:r>
      <w:r>
        <w:rPr>
          <w:rFonts w:ascii="Calibri" w:hAnsi="Calibri" w:hint="eastAsia"/>
          <w:b/>
          <w:sz w:val="32"/>
          <w:szCs w:val="32"/>
        </w:rPr>
        <w:t>（</w:t>
      </w:r>
      <w:r w:rsidRPr="00B710F1">
        <w:rPr>
          <w:rFonts w:ascii="Calibri" w:hAnsi="Calibri" w:hint="eastAsia"/>
          <w:b/>
          <w:sz w:val="18"/>
          <w:szCs w:val="18"/>
        </w:rPr>
        <w:t>货号：</w:t>
      </w:r>
      <w:r w:rsidRPr="00B710F1">
        <w:rPr>
          <w:rFonts w:ascii="Calibri" w:hAnsi="Calibri" w:hint="eastAsia"/>
          <w:b/>
          <w:sz w:val="18"/>
          <w:szCs w:val="18"/>
        </w:rPr>
        <w:t>PYB2044</w:t>
      </w:r>
      <w:r w:rsidR="00EA2A96" w:rsidRPr="00B710F1">
        <w:rPr>
          <w:rFonts w:ascii="Calibri" w:hAnsi="Calibri" w:hint="eastAsia"/>
          <w:b/>
          <w:sz w:val="18"/>
          <w:szCs w:val="18"/>
        </w:rPr>
        <w:t>,</w:t>
      </w:r>
      <w:r w:rsidR="00EA2A96" w:rsidRPr="00B710F1">
        <w:rPr>
          <w:rFonts w:ascii="Calibri" w:hAnsi="Calibri" w:hint="eastAsia"/>
          <w:b/>
          <w:sz w:val="18"/>
          <w:szCs w:val="18"/>
        </w:rPr>
        <w:t>规格</w:t>
      </w:r>
      <w:r w:rsidR="00EA2A96" w:rsidRPr="00B710F1">
        <w:rPr>
          <w:rFonts w:ascii="Calibri" w:hAnsi="Calibri" w:hint="eastAsia"/>
          <w:b/>
          <w:sz w:val="18"/>
          <w:szCs w:val="18"/>
        </w:rPr>
        <w:t>:96T</w:t>
      </w:r>
      <w:r>
        <w:rPr>
          <w:rFonts w:ascii="Calibri" w:hAnsi="Calibri" w:hint="eastAsia"/>
          <w:b/>
          <w:sz w:val="32"/>
          <w:szCs w:val="32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EA2A96" w:rsidRPr="007567B6" w:rsidRDefault="00B014D9" w:rsidP="00EA2A96">
      <w:pPr>
        <w:widowControl/>
        <w:ind w:left="14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Tahoma" w:hAnsi="Tahoma" w:cs="Tahoma" w:hint="eastAsia"/>
          <w:bCs/>
          <w:noProof/>
          <w:sz w:val="11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0.85pt;margin-top:42.25pt;width:56.6pt;height:32.25pt;z-index:251666432" filled="f" stroked="f">
            <v:textbox>
              <w:txbxContent>
                <w:p w:rsidR="00BC3A5E" w:rsidRPr="00BC3A5E" w:rsidRDefault="00BC3A5E">
                  <w:pPr>
                    <w:rPr>
                      <w:sz w:val="10"/>
                      <w:szCs w:val="11"/>
                    </w:rPr>
                  </w:pPr>
                  <w:r w:rsidRPr="00BC3A5E">
                    <w:rPr>
                      <w:rFonts w:hint="eastAsia"/>
                      <w:sz w:val="10"/>
                      <w:szCs w:val="11"/>
                    </w:rPr>
                    <w:t>POD</w:t>
                  </w:r>
                </w:p>
              </w:txbxContent>
            </v:textbox>
          </v:shape>
        </w:pict>
      </w:r>
      <w:r>
        <w:rPr>
          <w:rFonts w:ascii="Tahoma" w:hAnsi="Tahoma" w:cs="Tahoma" w:hint="eastAsia"/>
          <w:bCs/>
          <w:noProof/>
          <w:sz w:val="11"/>
          <w:szCs w:val="11"/>
        </w:rPr>
        <w:pict>
          <v:shape id="_x0000_s1029" type="#_x0000_t202" style="position:absolute;left:0;text-align:left;margin-left:225.5pt;margin-top:41.2pt;width:44.9pt;height:27.7pt;z-index:251664384" filled="f" stroked="f">
            <v:textbox>
              <w:txbxContent>
                <w:p w:rsidR="00BC3A5E" w:rsidRPr="00B014D9" w:rsidRDefault="00BC3A5E">
                  <w:pPr>
                    <w:rPr>
                      <w:sz w:val="11"/>
                      <w:szCs w:val="13"/>
                    </w:rPr>
                  </w:pPr>
                  <w:r w:rsidRPr="00B014D9">
                    <w:rPr>
                      <w:rFonts w:hint="eastAsia"/>
                      <w:sz w:val="11"/>
                      <w:szCs w:val="13"/>
                    </w:rPr>
                    <w:t>ACOD</w:t>
                  </w:r>
                </w:p>
              </w:txbxContent>
            </v:textbox>
          </v:shape>
        </w:pict>
      </w:r>
      <w:r>
        <w:rPr>
          <w:rFonts w:ascii="Tahoma" w:hAnsi="Tahoma" w:cs="Tahoma" w:hint="eastAsia"/>
          <w:b/>
          <w:noProof/>
          <w:sz w:val="11"/>
          <w:szCs w:val="11"/>
        </w:rPr>
        <w:pict>
          <v:shape id="_x0000_s1027" type="#_x0000_t202" style="position:absolute;left:0;text-align:left;margin-left:81.4pt;margin-top:42.25pt;width:26.95pt;height:26.65pt;z-index:251662336" filled="f" stroked="f">
            <v:textbox>
              <w:txbxContent>
                <w:p w:rsidR="00BC3A5E" w:rsidRPr="00BC3A5E" w:rsidRDefault="00BC3A5E">
                  <w:pPr>
                    <w:rPr>
                      <w:sz w:val="10"/>
                      <w:szCs w:val="11"/>
                    </w:rPr>
                  </w:pPr>
                  <w:r w:rsidRPr="00BC3A5E">
                    <w:rPr>
                      <w:rFonts w:hint="eastAsia"/>
                      <w:sz w:val="10"/>
                      <w:szCs w:val="11"/>
                    </w:rPr>
                    <w:t>ACSL</w:t>
                  </w:r>
                </w:p>
              </w:txbxContent>
            </v:textbox>
          </v:shape>
        </w:pict>
      </w:r>
      <w:r w:rsidR="00EA2A96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8D3F1E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EA2A96" w:rsidRPr="007567B6">
        <w:rPr>
          <w:rFonts w:ascii="宋体" w:hAnsi="宋体" w:cs="宋体"/>
          <w:color w:val="000000"/>
          <w:kern w:val="0"/>
          <w:sz w:val="18"/>
          <w:szCs w:val="18"/>
        </w:rPr>
        <w:t>游离脂肪酸（Non-esterifiedfattyacids，NEFA）和辅酶A在乙酰辅酶A合成酶(ACS)的作用下反应生成乙酰辅酶A。乙酰辅酶A在乙酰辅酶A氧化酶（ACOD）的作用下生成H2O2，然后通过色原在过氧化物酶（POD）的作用下生成有色底物</w:t>
      </w:r>
      <w:r w:rsidR="00EA2A96" w:rsidRPr="007567B6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BC1AEE" w:rsidRPr="00B014D9" w:rsidRDefault="00B014D9" w:rsidP="00BC3A5E">
      <w:pPr>
        <w:ind w:left="142"/>
        <w:rPr>
          <w:rFonts w:ascii="Tahoma" w:hAnsi="Tahoma" w:cs="Tahoma"/>
          <w:bCs/>
          <w:sz w:val="13"/>
          <w:szCs w:val="13"/>
        </w:rPr>
      </w:pPr>
      <w:r w:rsidRPr="00B014D9">
        <w:rPr>
          <w:rFonts w:ascii="Tahoma" w:hAnsi="Tahoma" w:cs="Tahoma" w:hint="eastAsia"/>
          <w:bCs/>
          <w:noProof/>
          <w:sz w:val="13"/>
          <w:szCs w:val="1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0.85pt;margin-top:13.85pt;width:28.6pt;height:.35pt;z-index:251665408" o:connectortype="straight">
            <v:stroke endarrow="block"/>
          </v:shape>
        </w:pict>
      </w:r>
      <w:r w:rsidRPr="00B014D9">
        <w:rPr>
          <w:rFonts w:ascii="Tahoma" w:hAnsi="Tahoma" w:cs="Tahoma" w:hint="eastAsia"/>
          <w:bCs/>
          <w:noProof/>
          <w:sz w:val="13"/>
          <w:szCs w:val="13"/>
        </w:rPr>
        <w:pict>
          <v:shape id="_x0000_s1028" type="#_x0000_t32" style="position:absolute;left:0;text-align:left;margin-left:228.4pt;margin-top:14.55pt;width:26.65pt;height:0;z-index:251663360" o:connectortype="straight">
            <v:stroke endarrow="block"/>
          </v:shape>
        </w:pict>
      </w:r>
      <w:r w:rsidRPr="00B014D9">
        <w:rPr>
          <w:rFonts w:ascii="Tahoma" w:hAnsi="Tahoma" w:cs="Tahoma" w:hint="eastAsia"/>
          <w:bCs/>
          <w:noProof/>
          <w:sz w:val="13"/>
          <w:szCs w:val="13"/>
        </w:rPr>
        <w:pict>
          <v:shape id="_x0000_s1026" type="#_x0000_t32" style="position:absolute;left:0;text-align:left;margin-left:78.2pt;margin-top:14.2pt;width:32.6pt;height:.35pt;flip:y;z-index:251661312" o:connectortype="straight">
            <v:stroke endarrow="block"/>
          </v:shape>
        </w:pic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游离脂肪酸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+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辅酶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 xml:space="preserve">A+ATP           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乙酰辅酶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A+AMP+PPi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，乙酰辅酶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A+O2         2,3-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反烯脂酰辅酶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A+H</w:t>
      </w:r>
      <w:r w:rsidR="00BC3A5E" w:rsidRPr="00B014D9">
        <w:rPr>
          <w:rFonts w:ascii="Tahoma" w:hAnsi="Tahoma" w:cs="Tahoma" w:hint="eastAsia"/>
          <w:bCs/>
          <w:sz w:val="13"/>
          <w:szCs w:val="13"/>
          <w:vertAlign w:val="subscript"/>
        </w:rPr>
        <w:t>2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O</w:t>
      </w:r>
      <w:r w:rsidR="00BC3A5E" w:rsidRPr="00B014D9">
        <w:rPr>
          <w:rFonts w:ascii="Tahoma" w:hAnsi="Tahoma" w:cs="Tahoma" w:hint="eastAsia"/>
          <w:bCs/>
          <w:sz w:val="13"/>
          <w:szCs w:val="13"/>
          <w:vertAlign w:val="subscript"/>
        </w:rPr>
        <w:t>2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，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2 H</w:t>
      </w:r>
      <w:r w:rsidR="00BC3A5E" w:rsidRPr="00B014D9">
        <w:rPr>
          <w:rFonts w:ascii="Tahoma" w:hAnsi="Tahoma" w:cs="Tahoma" w:hint="eastAsia"/>
          <w:bCs/>
          <w:sz w:val="13"/>
          <w:szCs w:val="13"/>
          <w:vertAlign w:val="subscript"/>
        </w:rPr>
        <w:t>2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O</w:t>
      </w:r>
      <w:r w:rsidR="00BC3A5E" w:rsidRPr="00B014D9">
        <w:rPr>
          <w:rFonts w:ascii="Tahoma" w:hAnsi="Tahoma" w:cs="Tahoma" w:hint="eastAsia"/>
          <w:bCs/>
          <w:sz w:val="13"/>
          <w:szCs w:val="13"/>
          <w:vertAlign w:val="subscript"/>
        </w:rPr>
        <w:t>2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 xml:space="preserve">+4-AAP+TOOS         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染料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+4H</w:t>
      </w:r>
      <w:r w:rsidR="00BC3A5E" w:rsidRPr="00B014D9">
        <w:rPr>
          <w:rFonts w:ascii="Tahoma" w:hAnsi="Tahoma" w:cs="Tahoma" w:hint="eastAsia"/>
          <w:bCs/>
          <w:sz w:val="13"/>
          <w:szCs w:val="13"/>
          <w:vertAlign w:val="subscript"/>
        </w:rPr>
        <w:t>2</w:t>
      </w:r>
      <w:r w:rsidR="00BC3A5E" w:rsidRPr="00B014D9">
        <w:rPr>
          <w:rFonts w:ascii="Tahoma" w:hAnsi="Tahoma" w:cs="Tahoma" w:hint="eastAsia"/>
          <w:bCs/>
          <w:sz w:val="13"/>
          <w:szCs w:val="13"/>
        </w:rPr>
        <w:t>O</w:t>
      </w:r>
    </w:p>
    <w:p w:rsidR="00E440CF" w:rsidRPr="002A2D22" w:rsidRDefault="008D3F1E" w:rsidP="00076F76">
      <w:pPr>
        <w:ind w:left="142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36"/>
          <w:szCs w:val="36"/>
        </w:rPr>
        <w:t xml:space="preserve"> </w:t>
      </w:r>
      <w:r w:rsidR="00076F76" w:rsidRPr="00076F76">
        <w:rPr>
          <w:rFonts w:ascii="Tahoma" w:hAnsi="Tahoma" w:cs="Tahoma" w:hint="eastAsia"/>
          <w:b/>
          <w:sz w:val="24"/>
          <w:szCs w:val="24"/>
        </w:rPr>
        <w:t>二</w:t>
      </w:r>
      <w:r w:rsidR="00076F76">
        <w:rPr>
          <w:rFonts w:ascii="Tahoma" w:hAnsi="Tahoma" w:cs="Tahoma" w:hint="eastAsia"/>
          <w:b/>
          <w:sz w:val="24"/>
          <w:szCs w:val="24"/>
        </w:rPr>
        <w:t>、</w:t>
      </w:r>
      <w:r w:rsidR="00AA3C8F"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p w:rsidR="002A2D22" w:rsidRPr="002A2D22" w:rsidRDefault="001855FC" w:rsidP="002A2D22">
      <w:pPr>
        <w:widowControl/>
        <w:ind w:left="14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试剂一：沉淀剂，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20mL×1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瓶，室温保存。此为过饱和溶液，如有结晶，则取上清进行实验。</w:t>
      </w:r>
    </w:p>
    <w:p w:rsidR="002A2D22" w:rsidRDefault="001855FC" w:rsidP="002A2D22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试剂二：缓冲液，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20mL×1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瓶，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8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℃保存。</w:t>
      </w:r>
    </w:p>
    <w:p w:rsidR="002A2D22" w:rsidRPr="002A2D22" w:rsidRDefault="001855FC" w:rsidP="002A2D22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试剂三：显色剂，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5mL×1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瓶，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8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℃避光保存。</w:t>
      </w:r>
    </w:p>
    <w:p w:rsidR="002A2D22" w:rsidRPr="002A2D22" w:rsidRDefault="001855FC" w:rsidP="002A2D22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试剂四：标准品溶剂贮备液，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10mL×1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瓶（温度较低时可能会有结晶产生，此时可将试剂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37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℃融化后使用），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8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℃保存；临用前将标准品溶剂贮备液：双蒸水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=1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：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9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稀释成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GSH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标准品溶剂应用液。</w:t>
      </w:r>
    </w:p>
    <w:p w:rsidR="003D195C" w:rsidRPr="003D195C" w:rsidRDefault="001855FC" w:rsidP="003D195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试剂五：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GSH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标准品粉剂，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3.07mg/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支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×3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支，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8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℃保存。测定前将一支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GSH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标准品用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10mL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标准品溶剂应用液溶解，配成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1mmol/LGSH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标准液（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℃～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8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℃可保存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1~2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周）；再取此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1mmol/LGSH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标准液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0.2mL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加标准品溶剂应用液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9.8mL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配成</w:t>
      </w:r>
      <w:r w:rsidR="002A2D22" w:rsidRPr="00076F76">
        <w:rPr>
          <w:rFonts w:ascii="宋体" w:hAnsi="宋体" w:cs="宋体"/>
          <w:color w:val="000000"/>
          <w:kern w:val="0"/>
          <w:sz w:val="18"/>
          <w:szCs w:val="18"/>
        </w:rPr>
        <w:t>20μmol/LGSH</w:t>
      </w:r>
      <w:r w:rsidR="002A2D22" w:rsidRPr="002A2D22">
        <w:rPr>
          <w:rFonts w:ascii="宋体" w:hAnsi="宋体" w:cs="宋体"/>
          <w:color w:val="000000"/>
          <w:kern w:val="0"/>
          <w:sz w:val="18"/>
          <w:szCs w:val="18"/>
        </w:rPr>
        <w:t>标准液（现用现配）。</w:t>
      </w:r>
      <w:r w:rsidR="00076F76" w:rsidRPr="002A2D22">
        <w:rPr>
          <w:rFonts w:ascii="宋体" w:hAnsi="宋体" w:cs="宋体"/>
          <w:color w:val="000000"/>
          <w:kern w:val="0"/>
          <w:sz w:val="18"/>
          <w:szCs w:val="18"/>
        </w:rPr>
        <w:t>注：</w:t>
      </w:r>
      <w:r w:rsidR="00076F76" w:rsidRPr="00076F76">
        <w:rPr>
          <w:rFonts w:ascii="宋体" w:hAnsi="宋体" w:cs="宋体"/>
          <w:color w:val="000000"/>
          <w:kern w:val="0"/>
          <w:sz w:val="18"/>
          <w:szCs w:val="18"/>
        </w:rPr>
        <w:t>GSH</w:t>
      </w:r>
      <w:r w:rsidR="00076F76" w:rsidRPr="002A2D22">
        <w:rPr>
          <w:rFonts w:ascii="宋体" w:hAnsi="宋体" w:cs="宋体"/>
          <w:color w:val="000000"/>
          <w:kern w:val="0"/>
          <w:sz w:val="18"/>
          <w:szCs w:val="18"/>
        </w:rPr>
        <w:t>的分子量为</w:t>
      </w:r>
      <w:r w:rsidR="00076F76" w:rsidRPr="00076F76">
        <w:rPr>
          <w:rFonts w:ascii="宋体" w:hAnsi="宋体" w:cs="宋体"/>
          <w:color w:val="000000"/>
          <w:kern w:val="0"/>
          <w:sz w:val="18"/>
          <w:szCs w:val="18"/>
        </w:rPr>
        <w:t>307</w:t>
      </w:r>
      <w:r w:rsidR="00076F76" w:rsidRPr="002A2D22">
        <w:rPr>
          <w:rFonts w:ascii="宋体" w:hAnsi="宋体" w:cs="宋体"/>
          <w:color w:val="000000"/>
          <w:kern w:val="0"/>
          <w:sz w:val="18"/>
          <w:szCs w:val="18"/>
        </w:rPr>
        <w:t>。另附送</w:t>
      </w:r>
      <w:r w:rsidR="00076F76" w:rsidRPr="00076F76">
        <w:rPr>
          <w:rFonts w:ascii="宋体" w:hAnsi="宋体" w:cs="宋体"/>
          <w:color w:val="000000"/>
          <w:kern w:val="0"/>
          <w:sz w:val="18"/>
          <w:szCs w:val="18"/>
        </w:rPr>
        <w:t>96</w:t>
      </w:r>
      <w:r w:rsidR="00076F76" w:rsidRPr="002A2D22">
        <w:rPr>
          <w:rFonts w:ascii="宋体" w:hAnsi="宋体" w:cs="宋体"/>
          <w:color w:val="000000"/>
          <w:kern w:val="0"/>
          <w:sz w:val="18"/>
          <w:szCs w:val="18"/>
        </w:rPr>
        <w:t>孔板一块。</w:t>
      </w:r>
      <w:r w:rsidR="003D195C" w:rsidRPr="003D195C">
        <w:rPr>
          <w:rFonts w:ascii="宋体" w:hAnsi="宋体" w:cs="宋体"/>
          <w:color w:val="000000"/>
          <w:kern w:val="0"/>
          <w:sz w:val="18"/>
          <w:szCs w:val="18"/>
        </w:rPr>
        <w:t>所需试剂和试剂</w:t>
      </w:r>
      <w:r w:rsidR="003D195C">
        <w:rPr>
          <w:rFonts w:ascii="宋体" w:hAnsi="宋体" w:cs="宋体" w:hint="eastAsia"/>
          <w:color w:val="000000"/>
          <w:kern w:val="0"/>
          <w:sz w:val="18"/>
          <w:szCs w:val="18"/>
        </w:rPr>
        <w:t>:</w:t>
      </w:r>
      <w:r w:rsidR="003D195C" w:rsidRPr="003D195C">
        <w:t xml:space="preserve"> </w:t>
      </w:r>
      <w:r w:rsidR="003D195C" w:rsidRPr="003D195C">
        <w:rPr>
          <w:rFonts w:ascii="宋体" w:hAnsi="宋体" w:cs="宋体"/>
          <w:color w:val="000000"/>
          <w:kern w:val="0"/>
          <w:sz w:val="18"/>
          <w:szCs w:val="18"/>
        </w:rPr>
        <w:t xml:space="preserve">蒸馏水、生理盐水（或 </w:t>
      </w:r>
      <w:r w:rsidR="003D195C" w:rsidRPr="003D195C">
        <w:rPr>
          <w:color w:val="000000"/>
          <w:kern w:val="0"/>
          <w:sz w:val="18"/>
          <w:szCs w:val="18"/>
        </w:rPr>
        <w:t>PBS</w:t>
      </w:r>
      <w:r w:rsidR="003D195C" w:rsidRPr="003D195C">
        <w:rPr>
          <w:rFonts w:ascii="宋体" w:hAnsi="宋体" w:cs="宋体"/>
          <w:color w:val="000000"/>
          <w:kern w:val="0"/>
          <w:sz w:val="18"/>
          <w:szCs w:val="18"/>
        </w:rPr>
        <w:t>（</w:t>
      </w:r>
      <w:r w:rsidR="003D195C" w:rsidRPr="003D195C">
        <w:rPr>
          <w:color w:val="000000"/>
          <w:kern w:val="0"/>
          <w:sz w:val="18"/>
          <w:szCs w:val="18"/>
        </w:rPr>
        <w:t>0.1M</w:t>
      </w:r>
      <w:r w:rsidR="003D195C" w:rsidRPr="003D195C">
        <w:rPr>
          <w:rFonts w:ascii="宋体" w:hAnsi="宋体" w:cs="宋体"/>
          <w:color w:val="000000"/>
          <w:kern w:val="0"/>
          <w:sz w:val="18"/>
          <w:szCs w:val="18"/>
        </w:rPr>
        <w:t>））、电子秤（毫克级）</w:t>
      </w:r>
    </w:p>
    <w:p w:rsidR="00BC1AEE" w:rsidRDefault="007034BA" w:rsidP="002A2D2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D557A4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D557A4">
        <w:rPr>
          <w:rFonts w:ascii="Tahoma" w:hAnsi="Tahoma" w:cs="Tahoma" w:hint="eastAsia"/>
          <w:b/>
          <w:sz w:val="24"/>
          <w:szCs w:val="24"/>
        </w:rPr>
        <w:t>步骤：</w:t>
      </w:r>
    </w:p>
    <w:p w:rsidR="00642F16" w:rsidRDefault="00642F16" w:rsidP="00642F16">
      <w:pPr>
        <w:pStyle w:val="a3"/>
        <w:ind w:left="652" w:firstLineChars="0" w:firstLine="0"/>
        <w:rPr>
          <w:rFonts w:ascii="Times New Roman" w:hAnsi="Times New Roman"/>
          <w:color w:val="000000"/>
          <w:kern w:val="0"/>
          <w:sz w:val="18"/>
          <w:szCs w:val="18"/>
        </w:rPr>
      </w:pPr>
      <w:r w:rsidRPr="00642F16">
        <w:rPr>
          <w:rFonts w:ascii="Times New Roman" w:hAnsi="Times New Roman" w:hint="eastAsia"/>
          <w:color w:val="000000"/>
          <w:kern w:val="0"/>
          <w:sz w:val="18"/>
          <w:szCs w:val="18"/>
        </w:rPr>
        <w:t>样本要求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：</w:t>
      </w:r>
    </w:p>
    <w:p w:rsidR="00642F16" w:rsidRPr="00642F16" w:rsidRDefault="001855FC" w:rsidP="001855FC">
      <w:pPr>
        <w:widowControl/>
        <w:spacing w:line="24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血液采集后需及时分离血清或血浆，避免溶血，最好立即检测（因游离脂肪酸的浓度会由于脂降解作用升高）。组织样本：准确称取组织重量，按重量（</w:t>
      </w:r>
      <w:r w:rsidR="00642F16" w:rsidRPr="00642F16">
        <w:rPr>
          <w:color w:val="000000"/>
          <w:kern w:val="0"/>
          <w:sz w:val="18"/>
          <w:szCs w:val="18"/>
        </w:rPr>
        <w:t>g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="00642F16" w:rsidRPr="00642F16">
        <w:rPr>
          <w:color w:val="000000"/>
          <w:kern w:val="0"/>
          <w:sz w:val="18"/>
          <w:szCs w:val="18"/>
        </w:rPr>
        <w:t>: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体积</w:t>
      </w:r>
      <w:r w:rsidR="00642F16" w:rsidRPr="00642F16">
        <w:rPr>
          <w:color w:val="000000"/>
          <w:kern w:val="0"/>
          <w:sz w:val="18"/>
          <w:szCs w:val="18"/>
        </w:rPr>
        <w:t>(mL)=1:9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的比例，加入</w:t>
      </w:r>
      <w:r w:rsidR="00642F16" w:rsidRPr="00642F16">
        <w:rPr>
          <w:color w:val="000000"/>
          <w:kern w:val="0"/>
          <w:sz w:val="18"/>
          <w:szCs w:val="18"/>
        </w:rPr>
        <w:t>9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倍体积的生理盐水，冰水浴条件下机械匀浆，制成</w:t>
      </w:r>
      <w:r w:rsidR="00642F16" w:rsidRPr="00642F16">
        <w:rPr>
          <w:color w:val="000000"/>
          <w:kern w:val="0"/>
          <w:sz w:val="18"/>
          <w:szCs w:val="18"/>
        </w:rPr>
        <w:t>10%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的匀浆，</w:t>
      </w:r>
      <w:r w:rsidR="00642F16" w:rsidRPr="00642F16">
        <w:rPr>
          <w:color w:val="000000"/>
          <w:kern w:val="0"/>
          <w:sz w:val="18"/>
          <w:szCs w:val="18"/>
        </w:rPr>
        <w:t>2500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642F16" w:rsidRPr="00642F16">
        <w:rPr>
          <w:color w:val="000000"/>
          <w:kern w:val="0"/>
          <w:sz w:val="18"/>
          <w:szCs w:val="18"/>
        </w:rPr>
        <w:t>/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="00642F16" w:rsidRPr="00642F16">
        <w:rPr>
          <w:color w:val="000000"/>
          <w:kern w:val="0"/>
          <w:sz w:val="18"/>
          <w:szCs w:val="18"/>
        </w:rPr>
        <w:t>10</w:t>
      </w:r>
      <w:r w:rsidR="00642F16" w:rsidRPr="00642F16">
        <w:rPr>
          <w:rFonts w:ascii="宋体" w:hAnsi="宋体" w:cs="宋体"/>
          <w:color w:val="000000"/>
          <w:kern w:val="0"/>
          <w:sz w:val="18"/>
          <w:szCs w:val="18"/>
        </w:rPr>
        <w:t>分钟，取上清测定。细胞样本需收好破碎后制成匀浆液进行测定，细胞培养上清可直接进行实验。</w:t>
      </w:r>
    </w:p>
    <w:p w:rsidR="00642F16" w:rsidRDefault="00642F16" w:rsidP="00642F16">
      <w:pPr>
        <w:rPr>
          <w:rFonts w:ascii="宋体" w:hAnsi="宋体"/>
          <w:color w:val="000000"/>
          <w:sz w:val="18"/>
          <w:szCs w:val="18"/>
        </w:rPr>
      </w:pPr>
      <w:r w:rsidRPr="00642F16">
        <w:rPr>
          <w:rFonts w:ascii="宋体" w:hAnsi="宋体"/>
          <w:color w:val="000000"/>
          <w:sz w:val="18"/>
          <w:szCs w:val="18"/>
        </w:rPr>
        <w:t>标本</w:t>
      </w:r>
      <w:r w:rsidRPr="00642F16">
        <w:rPr>
          <w:color w:val="000000"/>
          <w:sz w:val="18"/>
          <w:szCs w:val="18"/>
        </w:rPr>
        <w:t>2</w:t>
      </w:r>
      <w:r w:rsidRPr="00642F16">
        <w:rPr>
          <w:rFonts w:ascii="宋体" w:hAnsi="宋体"/>
          <w:color w:val="000000"/>
          <w:sz w:val="18"/>
          <w:szCs w:val="18"/>
        </w:rPr>
        <w:t>～</w:t>
      </w:r>
      <w:r w:rsidRPr="00642F16">
        <w:rPr>
          <w:color w:val="000000"/>
          <w:sz w:val="18"/>
          <w:szCs w:val="18"/>
        </w:rPr>
        <w:t>8</w:t>
      </w:r>
      <w:r w:rsidRPr="00642F16">
        <w:rPr>
          <w:rFonts w:ascii="宋体" w:hAnsi="宋体"/>
          <w:color w:val="000000"/>
          <w:sz w:val="18"/>
          <w:szCs w:val="18"/>
        </w:rPr>
        <w:t>℃稳定</w:t>
      </w:r>
      <w:r w:rsidRPr="00642F16">
        <w:rPr>
          <w:color w:val="000000"/>
          <w:sz w:val="18"/>
          <w:szCs w:val="18"/>
        </w:rPr>
        <w:t>3</w:t>
      </w:r>
      <w:r w:rsidRPr="00642F16">
        <w:rPr>
          <w:rFonts w:ascii="宋体" w:hAnsi="宋体"/>
          <w:color w:val="000000"/>
          <w:sz w:val="18"/>
          <w:szCs w:val="18"/>
        </w:rPr>
        <w:t>天（血清、浆），如标本不能立即检测，需将样本置于</w:t>
      </w:r>
      <w:r w:rsidRPr="00642F16">
        <w:rPr>
          <w:color w:val="000000"/>
          <w:sz w:val="18"/>
          <w:szCs w:val="18"/>
        </w:rPr>
        <w:t>-20</w:t>
      </w:r>
      <w:r w:rsidRPr="00642F16">
        <w:rPr>
          <w:rFonts w:ascii="宋体" w:hAnsi="宋体"/>
          <w:color w:val="000000"/>
          <w:sz w:val="18"/>
          <w:szCs w:val="18"/>
        </w:rPr>
        <w:t>℃或更低温度保存（组织或细胞样本制成匀浆后需当天进行检测）。不可使用肝素抗凝的血浆样本。</w:t>
      </w:r>
      <w:r w:rsidR="00076F76" w:rsidRPr="00642F16">
        <w:rPr>
          <w:rFonts w:ascii="宋体" w:hAnsi="宋体" w:cs="宋体"/>
          <w:color w:val="000000"/>
          <w:kern w:val="0"/>
          <w:sz w:val="18"/>
        </w:rPr>
        <w:t>（液体样本有血清（浆）、培养液等，固体样本有动植物</w:t>
      </w:r>
      <w:r w:rsidR="00076F76">
        <w:rPr>
          <w:rFonts w:ascii="宋体" w:hAnsi="宋体" w:cs="宋体" w:hint="eastAsia"/>
          <w:color w:val="000000"/>
          <w:kern w:val="0"/>
          <w:sz w:val="18"/>
        </w:rPr>
        <w:t>组织、细胞等）</w:t>
      </w:r>
    </w:p>
    <w:tbl>
      <w:tblPr>
        <w:tblStyle w:val="a7"/>
        <w:tblpPr w:leftFromText="180" w:rightFromText="180" w:vertAnchor="text" w:horzAnchor="margin" w:tblpY="71"/>
        <w:tblW w:w="5722" w:type="dxa"/>
        <w:tblLook w:val="04A0"/>
      </w:tblPr>
      <w:tblGrid>
        <w:gridCol w:w="1999"/>
        <w:gridCol w:w="2195"/>
        <w:gridCol w:w="764"/>
        <w:gridCol w:w="764"/>
      </w:tblGrid>
      <w:tr w:rsidR="00076F76" w:rsidRPr="009B6E77" w:rsidTr="00076F76">
        <w:trPr>
          <w:trHeight w:val="1101"/>
        </w:trPr>
        <w:tc>
          <w:tcPr>
            <w:tcW w:w="1999" w:type="dxa"/>
            <w:tcBorders>
              <w:tl2br w:val="single" w:sz="4" w:space="0" w:color="auto"/>
            </w:tcBorders>
          </w:tcPr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 xml:space="preserve">      </w:t>
            </w:r>
            <w:r w:rsidR="009B6E77">
              <w:rPr>
                <w:rStyle w:val="fontstyle01"/>
                <w:rFonts w:hint="default"/>
                <w:sz w:val="21"/>
                <w:szCs w:val="21"/>
              </w:rPr>
              <w:t xml:space="preserve">     </w:t>
            </w:r>
            <w:r w:rsidRPr="009B6E77">
              <w:rPr>
                <w:rStyle w:val="fontstyle01"/>
                <w:rFonts w:hint="default"/>
                <w:sz w:val="21"/>
                <w:szCs w:val="21"/>
              </w:rPr>
              <w:t xml:space="preserve"> 孔别</w:t>
            </w:r>
          </w:p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加入物</w:t>
            </w:r>
          </w:p>
        </w:tc>
        <w:tc>
          <w:tcPr>
            <w:tcW w:w="2195" w:type="dxa"/>
          </w:tcPr>
          <w:p w:rsidR="00076F76" w:rsidRPr="009B6E77" w:rsidRDefault="00076F76" w:rsidP="009B6E77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空白</w:t>
            </w:r>
          </w:p>
        </w:tc>
        <w:tc>
          <w:tcPr>
            <w:tcW w:w="0" w:type="auto"/>
          </w:tcPr>
          <w:p w:rsidR="00076F76" w:rsidRPr="009B6E77" w:rsidRDefault="00076F76" w:rsidP="009B6E77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校准</w:t>
            </w:r>
          </w:p>
        </w:tc>
        <w:tc>
          <w:tcPr>
            <w:tcW w:w="0" w:type="auto"/>
          </w:tcPr>
          <w:p w:rsidR="00076F76" w:rsidRPr="009B6E77" w:rsidRDefault="00076F76" w:rsidP="009B6E77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样本</w:t>
            </w:r>
          </w:p>
        </w:tc>
      </w:tr>
      <w:tr w:rsidR="00076F76" w:rsidRPr="009B6E77" w:rsidTr="00076F76">
        <w:trPr>
          <w:trHeight w:val="557"/>
        </w:trPr>
        <w:tc>
          <w:tcPr>
            <w:tcW w:w="1999" w:type="dxa"/>
          </w:tcPr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双蒸水</w:t>
            </w:r>
          </w:p>
        </w:tc>
        <w:tc>
          <w:tcPr>
            <w:tcW w:w="2195" w:type="dxa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4µL</w:t>
            </w: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</w:tr>
      <w:tr w:rsidR="00076F76" w:rsidRPr="009B6E77" w:rsidTr="00076F76">
        <w:trPr>
          <w:trHeight w:val="557"/>
        </w:trPr>
        <w:tc>
          <w:tcPr>
            <w:tcW w:w="1999" w:type="dxa"/>
          </w:tcPr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标准品</w:t>
            </w:r>
          </w:p>
        </w:tc>
        <w:tc>
          <w:tcPr>
            <w:tcW w:w="2195" w:type="dxa"/>
            <w:vAlign w:val="center"/>
          </w:tcPr>
          <w:p w:rsidR="00076F76" w:rsidRPr="009B6E77" w:rsidRDefault="00076F76" w:rsidP="00076F76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4µL</w:t>
            </w: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</w:tr>
      <w:tr w:rsidR="00076F76" w:rsidRPr="009B6E77" w:rsidTr="00076F76">
        <w:trPr>
          <w:trHeight w:val="557"/>
        </w:trPr>
        <w:tc>
          <w:tcPr>
            <w:tcW w:w="1999" w:type="dxa"/>
          </w:tcPr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样品</w:t>
            </w:r>
          </w:p>
        </w:tc>
        <w:tc>
          <w:tcPr>
            <w:tcW w:w="2195" w:type="dxa"/>
            <w:vAlign w:val="center"/>
          </w:tcPr>
          <w:p w:rsidR="00076F76" w:rsidRPr="009B6E77" w:rsidRDefault="00076F76" w:rsidP="00076F76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4µL</w:t>
            </w:r>
          </w:p>
        </w:tc>
      </w:tr>
      <w:tr w:rsidR="00076F76" w:rsidRPr="009B6E77" w:rsidTr="00076F76">
        <w:trPr>
          <w:trHeight w:val="544"/>
        </w:trPr>
        <w:tc>
          <w:tcPr>
            <w:tcW w:w="1999" w:type="dxa"/>
          </w:tcPr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试剂一</w:t>
            </w:r>
          </w:p>
        </w:tc>
        <w:tc>
          <w:tcPr>
            <w:tcW w:w="2195" w:type="dxa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200µL</w:t>
            </w: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200µL</w:t>
            </w: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200µL</w:t>
            </w:r>
          </w:p>
        </w:tc>
      </w:tr>
      <w:tr w:rsidR="00076F76" w:rsidRPr="009B6E77" w:rsidTr="00076F76">
        <w:trPr>
          <w:trHeight w:val="544"/>
        </w:trPr>
        <w:tc>
          <w:tcPr>
            <w:tcW w:w="0" w:type="auto"/>
            <w:gridSpan w:val="4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混匀，</w:t>
            </w:r>
            <w:r w:rsidRPr="009B6E77">
              <w:rPr>
                <w:rStyle w:val="fontstyle21"/>
                <w:sz w:val="21"/>
                <w:szCs w:val="21"/>
              </w:rPr>
              <w:t>37</w:t>
            </w:r>
            <w:r w:rsidRPr="009B6E77">
              <w:rPr>
                <w:rStyle w:val="fontstyle01"/>
                <w:rFonts w:hint="default"/>
                <w:sz w:val="21"/>
                <w:szCs w:val="21"/>
              </w:rPr>
              <w:t>℃孵育</w:t>
            </w:r>
            <w:r w:rsidRPr="009B6E77">
              <w:rPr>
                <w:rStyle w:val="fontstyle21"/>
                <w:sz w:val="21"/>
                <w:szCs w:val="21"/>
              </w:rPr>
              <w:t>5min</w:t>
            </w:r>
            <w:r w:rsidRPr="009B6E77">
              <w:rPr>
                <w:rStyle w:val="fontstyle01"/>
                <w:rFonts w:hint="default"/>
                <w:sz w:val="21"/>
                <w:szCs w:val="21"/>
              </w:rPr>
              <w:t>，读取吸光度值</w:t>
            </w:r>
            <w:r w:rsidRPr="009B6E77">
              <w:rPr>
                <w:rStyle w:val="fontstyle21"/>
                <w:sz w:val="21"/>
                <w:szCs w:val="21"/>
              </w:rPr>
              <w:t>A1</w:t>
            </w:r>
          </w:p>
        </w:tc>
      </w:tr>
      <w:tr w:rsidR="00076F76" w:rsidRPr="009B6E77" w:rsidTr="00076F76">
        <w:trPr>
          <w:trHeight w:val="557"/>
        </w:trPr>
        <w:tc>
          <w:tcPr>
            <w:tcW w:w="1999" w:type="dxa"/>
          </w:tcPr>
          <w:p w:rsidR="00076F76" w:rsidRPr="009B6E77" w:rsidRDefault="00076F76" w:rsidP="00076F76">
            <w:pPr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试剂二</w:t>
            </w:r>
          </w:p>
        </w:tc>
        <w:tc>
          <w:tcPr>
            <w:tcW w:w="2195" w:type="dxa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50µL</w:t>
            </w: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50µL</w:t>
            </w:r>
          </w:p>
        </w:tc>
        <w:tc>
          <w:tcPr>
            <w:tcW w:w="0" w:type="auto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50µL</w:t>
            </w:r>
          </w:p>
        </w:tc>
      </w:tr>
      <w:tr w:rsidR="00076F76" w:rsidRPr="009B6E77" w:rsidTr="00076F76">
        <w:trPr>
          <w:trHeight w:val="571"/>
        </w:trPr>
        <w:tc>
          <w:tcPr>
            <w:tcW w:w="0" w:type="auto"/>
            <w:gridSpan w:val="4"/>
            <w:vAlign w:val="center"/>
          </w:tcPr>
          <w:p w:rsidR="00076F76" w:rsidRPr="009B6E77" w:rsidRDefault="00076F76" w:rsidP="00076F76">
            <w:pPr>
              <w:jc w:val="center"/>
              <w:rPr>
                <w:rFonts w:ascii="宋体" w:hAnsi="宋体" w:cs="宋体"/>
                <w:szCs w:val="21"/>
              </w:rPr>
            </w:pPr>
            <w:r w:rsidRPr="009B6E77">
              <w:rPr>
                <w:rStyle w:val="fontstyle01"/>
                <w:rFonts w:hint="default"/>
                <w:sz w:val="21"/>
                <w:szCs w:val="21"/>
              </w:rPr>
              <w:t>混匀，</w:t>
            </w:r>
            <w:r w:rsidRPr="009B6E77">
              <w:rPr>
                <w:rStyle w:val="fontstyle21"/>
                <w:sz w:val="21"/>
                <w:szCs w:val="21"/>
              </w:rPr>
              <w:t>37</w:t>
            </w:r>
            <w:r w:rsidRPr="009B6E77">
              <w:rPr>
                <w:rStyle w:val="fontstyle01"/>
                <w:rFonts w:hint="default"/>
                <w:sz w:val="21"/>
                <w:szCs w:val="21"/>
              </w:rPr>
              <w:t>℃孵育</w:t>
            </w:r>
            <w:r w:rsidRPr="009B6E77">
              <w:rPr>
                <w:rStyle w:val="fontstyle21"/>
                <w:sz w:val="21"/>
                <w:szCs w:val="21"/>
              </w:rPr>
              <w:t>5min</w:t>
            </w:r>
            <w:r w:rsidRPr="009B6E77">
              <w:rPr>
                <w:rStyle w:val="fontstyle01"/>
                <w:rFonts w:hint="default"/>
                <w:sz w:val="21"/>
                <w:szCs w:val="21"/>
              </w:rPr>
              <w:t>，读取吸光度值</w:t>
            </w:r>
            <w:r w:rsidRPr="009B6E77">
              <w:rPr>
                <w:rStyle w:val="fontstyle21"/>
                <w:sz w:val="21"/>
                <w:szCs w:val="21"/>
              </w:rPr>
              <w:t>A2</w:t>
            </w:r>
            <w:r w:rsidRPr="009B6E77">
              <w:rPr>
                <w:rStyle w:val="fontstyle01"/>
                <w:rFonts w:hint="default"/>
                <w:sz w:val="21"/>
                <w:szCs w:val="21"/>
              </w:rPr>
              <w:t>，计算</w:t>
            </w:r>
            <w:r w:rsidRPr="009B6E77">
              <w:rPr>
                <w:rStyle w:val="fontstyle31"/>
                <w:rFonts w:ascii="Cambria Math" w:hAnsi="Cambria Math" w:cs="Cambria Math"/>
                <w:sz w:val="21"/>
                <w:szCs w:val="21"/>
              </w:rPr>
              <w:t>△</w:t>
            </w:r>
            <w:r w:rsidRPr="009B6E77">
              <w:rPr>
                <w:rStyle w:val="fontstyle21"/>
                <w:sz w:val="21"/>
                <w:szCs w:val="21"/>
              </w:rPr>
              <w:t>A=A2-A1</w:t>
            </w:r>
          </w:p>
        </w:tc>
      </w:tr>
    </w:tbl>
    <w:p w:rsidR="004A5CC2" w:rsidRDefault="004A5CC2" w:rsidP="00076F76">
      <w:pPr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/>
          <w:noProof/>
          <w:color w:val="000000"/>
          <w:sz w:val="18"/>
          <w:szCs w:val="18"/>
        </w:rPr>
        <w:pict>
          <v:shape id="_x0000_s1034" type="#_x0000_t202" style="position:absolute;left:0;text-align:left;margin-left:127.5pt;margin-top:12.5pt;width:67.25pt;height:29.25pt;z-index:251669504;mso-position-horizontal-relative:text;mso-position-vertical-relative:text" filled="f" stroked="f">
            <v:textbox>
              <w:txbxContent>
                <w:p w:rsidR="004A5CC2" w:rsidRPr="006026AF" w:rsidRDefault="004A5CC2" w:rsidP="004A5CC2">
                  <w:pPr>
                    <w:rPr>
                      <w:sz w:val="13"/>
                      <w:szCs w:val="15"/>
                    </w:rPr>
                  </w:pP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样本</w:t>
                  </w:r>
                  <w:r>
                    <w:rPr>
                      <w:rFonts w:hint="eastAsia"/>
                      <w:sz w:val="13"/>
                      <w:szCs w:val="15"/>
                    </w:rPr>
                    <w:t>-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  <w:r w:rsidR="00642F16" w:rsidRPr="00076F76">
        <w:rPr>
          <w:rFonts w:ascii="宋体" w:hAnsi="宋体" w:cs="宋体" w:hint="eastAsia"/>
          <w:color w:val="000000"/>
          <w:kern w:val="0"/>
          <w:sz w:val="18"/>
          <w:szCs w:val="18"/>
        </w:rPr>
        <w:t>计算公式：</w:t>
      </w:r>
    </w:p>
    <w:p w:rsidR="00642F16" w:rsidRPr="00076F76" w:rsidRDefault="004A5CC2" w:rsidP="00076F76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noProof/>
          <w:color w:val="000000"/>
          <w:kern w:val="0"/>
          <w:sz w:val="18"/>
          <w:szCs w:val="18"/>
        </w:rPr>
        <w:pict>
          <v:shape id="_x0000_s1033" type="#_x0000_t202" style="position:absolute;left:0;text-align:left;margin-left:127.5pt;margin-top:3.35pt;width:67.25pt;height:29.25pt;z-index:251668480" filled="f" stroked="f">
            <v:textbox>
              <w:txbxContent>
                <w:p w:rsidR="000933A1" w:rsidRPr="006026AF" w:rsidRDefault="000933A1" w:rsidP="000933A1">
                  <w:pPr>
                    <w:rPr>
                      <w:sz w:val="13"/>
                      <w:szCs w:val="15"/>
                    </w:rPr>
                  </w:pP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标准</w:t>
                  </w:r>
                  <w:r>
                    <w:rPr>
                      <w:rFonts w:hint="eastAsia"/>
                      <w:sz w:val="13"/>
                      <w:szCs w:val="15"/>
                    </w:rPr>
                    <w:t>-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noProof/>
          <w:color w:val="000000"/>
          <w:kern w:val="0"/>
          <w:sz w:val="18"/>
          <w:szCs w:val="18"/>
        </w:rPr>
        <w:pict>
          <v:shape id="_x0000_s1032" type="#_x0000_t32" style="position:absolute;left:0;text-align:left;margin-left:136.15pt;margin-top:10.85pt;width:52.5pt;height:0;z-index:251667456" o:connectortype="straight"/>
        </w:pict>
      </w:r>
      <w:r w:rsidR="000933A1">
        <w:rPr>
          <w:rFonts w:ascii="宋体" w:hAnsi="宋体" w:cs="宋体" w:hint="eastAsia"/>
          <w:color w:val="000000"/>
          <w:kern w:val="0"/>
          <w:sz w:val="18"/>
          <w:szCs w:val="18"/>
        </w:rPr>
        <w:t>液体样本NEFA含量（mmol/L</w:t>
      </w:r>
      <w:r w:rsidR="000933A1">
        <w:rPr>
          <w:rFonts w:ascii="宋体" w:hAnsi="宋体" w:cs="宋体"/>
          <w:color w:val="000000"/>
          <w:kern w:val="0"/>
          <w:sz w:val="18"/>
          <w:szCs w:val="18"/>
        </w:rPr>
        <w:t>）</w:t>
      </w:r>
      <w:r w:rsidR="000933A1">
        <w:rPr>
          <w:rFonts w:ascii="宋体" w:hAnsi="宋体" w:cs="宋体" w:hint="eastAsia"/>
          <w:color w:val="000000"/>
          <w:kern w:val="0"/>
          <w:sz w:val="18"/>
          <w:szCs w:val="18"/>
        </w:rPr>
        <w:t>=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</w:t>
      </w:r>
      <w:r w:rsidRPr="004A0D86">
        <w:rPr>
          <w:rFonts w:ascii="宋体" w:hAnsi="宋体"/>
          <w:color w:val="000000"/>
          <w:sz w:val="18"/>
          <w:szCs w:val="18"/>
        </w:rPr>
        <w:t>×</w:t>
      </w:r>
      <w:r>
        <w:rPr>
          <w:rFonts w:ascii="宋体" w:hAnsi="宋体" w:hint="eastAsia"/>
          <w:color w:val="000000"/>
          <w:sz w:val="18"/>
          <w:szCs w:val="18"/>
        </w:rPr>
        <w:t>C</w:t>
      </w:r>
      <w:r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</w:p>
    <w:p w:rsidR="00642F16" w:rsidRDefault="004A5CC2" w:rsidP="00ED7BA7">
      <w:pPr>
        <w:pStyle w:val="a3"/>
        <w:ind w:left="652" w:firstLineChars="0" w:firstLine="0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 w:val="18"/>
          <w:szCs w:val="18"/>
        </w:rPr>
        <w:pict>
          <v:shape id="_x0000_s1037" type="#_x0000_t202" style="position:absolute;left:0;text-align:left;margin-left:143.35pt;margin-top:14.75pt;width:67.25pt;height:29.25pt;z-index:251672576" filled="f" stroked="f">
            <v:textbox>
              <w:txbxContent>
                <w:p w:rsidR="004A5CC2" w:rsidRPr="006026AF" w:rsidRDefault="004A5CC2" w:rsidP="004A5CC2">
                  <w:pPr>
                    <w:rPr>
                      <w:sz w:val="13"/>
                      <w:szCs w:val="15"/>
                    </w:rPr>
                  </w:pP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样本</w:t>
                  </w:r>
                  <w:r>
                    <w:rPr>
                      <w:rFonts w:hint="eastAsia"/>
                      <w:sz w:val="13"/>
                      <w:szCs w:val="15"/>
                    </w:rPr>
                    <w:t>-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noProof/>
          <w:color w:val="000000"/>
          <w:kern w:val="0"/>
          <w:sz w:val="18"/>
          <w:szCs w:val="18"/>
        </w:rPr>
        <w:pict>
          <v:shape id="_x0000_s1035" type="#_x0000_t202" style="position:absolute;left:0;text-align:left;margin-left:143.35pt;margin-top:1.65pt;width:67.25pt;height:29.25pt;z-index:251670528" filled="f" stroked="f">
            <v:textbox>
              <w:txbxContent>
                <w:p w:rsidR="004A5CC2" w:rsidRPr="006026AF" w:rsidRDefault="004A5CC2" w:rsidP="004A5CC2">
                  <w:pPr>
                    <w:rPr>
                      <w:sz w:val="13"/>
                      <w:szCs w:val="15"/>
                    </w:rPr>
                  </w:pP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样本</w:t>
                  </w:r>
                  <w:r>
                    <w:rPr>
                      <w:rFonts w:hint="eastAsia"/>
                      <w:sz w:val="13"/>
                      <w:szCs w:val="15"/>
                    </w:rPr>
                    <w:t>-</w:t>
                  </w:r>
                  <w:r w:rsidRPr="006026AF">
                    <w:rPr>
                      <w:rFonts w:hint="eastAsia"/>
                      <w:sz w:val="13"/>
                      <w:szCs w:val="15"/>
                    </w:rPr>
                    <w:t>△</w:t>
                  </w:r>
                  <w:r>
                    <w:rPr>
                      <w:rFonts w:hint="eastAsia"/>
                      <w:sz w:val="13"/>
                      <w:szCs w:val="15"/>
                    </w:rPr>
                    <w:t>A</w:t>
                  </w:r>
                  <w:r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</w:p>
    <w:p w:rsidR="004A5CC2" w:rsidRPr="004A5CC2" w:rsidRDefault="004A5CC2" w:rsidP="004A5CC2">
      <w:pPr>
        <w:pStyle w:val="a3"/>
        <w:ind w:leftChars="310" w:left="651" w:firstLineChars="0" w:firstLine="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cs="宋体" w:hint="eastAsia"/>
          <w:noProof/>
          <w:color w:val="000000"/>
          <w:kern w:val="0"/>
          <w:sz w:val="18"/>
          <w:szCs w:val="18"/>
        </w:rPr>
        <w:pict>
          <v:shape id="_x0000_s1036" type="#_x0000_t32" style="position:absolute;left:0;text-align:left;margin-left:148.5pt;margin-top:7.45pt;width:59.75pt;height:0;z-index:251671552" o:connectortype="straight"/>
        </w:pic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固体样本NEFA含量（mmol/gprot</w:t>
      </w:r>
      <w:r>
        <w:rPr>
          <w:rFonts w:ascii="宋体" w:hAnsi="宋体" w:cs="宋体"/>
          <w:color w:val="000000"/>
          <w:kern w:val="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=               </w:t>
      </w:r>
      <w:r w:rsidRPr="004A0D86">
        <w:rPr>
          <w:rFonts w:ascii="宋体" w:hAnsi="宋体"/>
          <w:color w:val="000000"/>
          <w:sz w:val="18"/>
          <w:szCs w:val="18"/>
        </w:rPr>
        <w:t>×</w:t>
      </w:r>
      <w:r>
        <w:rPr>
          <w:rFonts w:ascii="宋体" w:hAnsi="宋体" w:hint="eastAsia"/>
          <w:color w:val="000000"/>
          <w:sz w:val="18"/>
          <w:szCs w:val="18"/>
        </w:rPr>
        <w:t>C</w:t>
      </w:r>
      <w:r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  <w:r w:rsidRPr="004A5CC2">
        <w:rPr>
          <w:rFonts w:ascii="宋体" w:hAnsi="宋体" w:hint="eastAsia"/>
          <w:color w:val="000000"/>
          <w:sz w:val="18"/>
          <w:szCs w:val="18"/>
        </w:rPr>
        <w:sym w:font="Symbol" w:char="F0B8"/>
      </w:r>
      <w:r w:rsidRPr="004A5CC2">
        <w:rPr>
          <w:rFonts w:ascii="宋体" w:hAnsi="宋体" w:hint="eastAsia"/>
          <w:color w:val="000000"/>
          <w:sz w:val="18"/>
          <w:szCs w:val="18"/>
        </w:rPr>
        <w:t>Cpr</w:t>
      </w:r>
    </w:p>
    <w:p w:rsidR="00642F16" w:rsidRPr="00642F16" w:rsidRDefault="00642F16" w:rsidP="00076F76">
      <w:pPr>
        <w:widowControl/>
        <w:spacing w:line="240" w:lineRule="auto"/>
        <w:rPr>
          <w:color w:val="000000"/>
          <w:kern w:val="0"/>
          <w:sz w:val="18"/>
        </w:rPr>
      </w:pPr>
      <w:r w:rsidRPr="00642F16">
        <w:rPr>
          <w:b/>
          <w:bCs/>
          <w:color w:val="000000"/>
          <w:kern w:val="0"/>
          <w:sz w:val="18"/>
          <w:szCs w:val="18"/>
        </w:rPr>
        <w:t>C</w:t>
      </w:r>
      <w:r w:rsidRPr="00642F16">
        <w:rPr>
          <w:rFonts w:ascii="宋体" w:hAnsi="宋体" w:cs="宋体"/>
          <w:color w:val="000000"/>
          <w:kern w:val="0"/>
          <w:sz w:val="10"/>
          <w:szCs w:val="10"/>
        </w:rPr>
        <w:t>校准</w:t>
      </w:r>
      <w:r w:rsidRPr="00642F16">
        <w:rPr>
          <w:color w:val="000000"/>
          <w:kern w:val="0"/>
          <w:sz w:val="18"/>
        </w:rPr>
        <w:t>:</w:t>
      </w:r>
      <w:r w:rsidRPr="00642F16">
        <w:rPr>
          <w:rFonts w:ascii="宋体" w:hAnsi="宋体" w:cs="宋体"/>
          <w:color w:val="000000"/>
          <w:kern w:val="0"/>
          <w:sz w:val="18"/>
        </w:rPr>
        <w:t>标准品浓度</w:t>
      </w:r>
      <w:r w:rsidRPr="00642F16">
        <w:rPr>
          <w:color w:val="000000"/>
          <w:kern w:val="0"/>
          <w:sz w:val="18"/>
        </w:rPr>
        <w:t>,1.00mmol/L(</w:t>
      </w:r>
      <w:r w:rsidRPr="00642F16">
        <w:rPr>
          <w:rFonts w:ascii="宋体" w:hAnsi="宋体" w:cs="宋体"/>
          <w:color w:val="000000"/>
          <w:kern w:val="0"/>
          <w:sz w:val="18"/>
        </w:rPr>
        <w:t>具体浓度见标签</w:t>
      </w:r>
      <w:r w:rsidRPr="00642F16">
        <w:rPr>
          <w:color w:val="000000"/>
          <w:kern w:val="0"/>
          <w:sz w:val="18"/>
        </w:rPr>
        <w:t>);</w:t>
      </w:r>
    </w:p>
    <w:p w:rsidR="00076F76" w:rsidRDefault="00642F16" w:rsidP="00076F76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</w:rPr>
      </w:pPr>
      <w:r w:rsidRPr="00642F16">
        <w:rPr>
          <w:b/>
          <w:bCs/>
          <w:color w:val="000000"/>
          <w:kern w:val="0"/>
          <w:sz w:val="18"/>
          <w:szCs w:val="18"/>
        </w:rPr>
        <w:t>Cpr</w:t>
      </w:r>
      <w:r w:rsidRPr="00642F16">
        <w:rPr>
          <w:color w:val="000000"/>
          <w:kern w:val="0"/>
          <w:sz w:val="18"/>
        </w:rPr>
        <w:t>:</w:t>
      </w:r>
      <w:r w:rsidRPr="00642F16">
        <w:rPr>
          <w:rFonts w:ascii="宋体" w:hAnsi="宋体" w:cs="宋体"/>
          <w:color w:val="000000"/>
          <w:kern w:val="0"/>
          <w:sz w:val="18"/>
        </w:rPr>
        <w:t>组织</w:t>
      </w:r>
      <w:r w:rsidRPr="00642F16">
        <w:rPr>
          <w:color w:val="000000"/>
          <w:kern w:val="0"/>
          <w:sz w:val="18"/>
        </w:rPr>
        <w:t>(</w:t>
      </w:r>
      <w:r w:rsidRPr="00642F16">
        <w:rPr>
          <w:rFonts w:ascii="宋体" w:hAnsi="宋体" w:cs="宋体"/>
          <w:color w:val="000000"/>
          <w:kern w:val="0"/>
          <w:sz w:val="18"/>
        </w:rPr>
        <w:t>细胞</w:t>
      </w:r>
      <w:r w:rsidRPr="00642F16">
        <w:rPr>
          <w:color w:val="000000"/>
          <w:kern w:val="0"/>
          <w:sz w:val="18"/>
        </w:rPr>
        <w:t>)</w:t>
      </w:r>
      <w:r w:rsidRPr="00642F16">
        <w:rPr>
          <w:rFonts w:ascii="宋体" w:hAnsi="宋体" w:cs="宋体"/>
          <w:color w:val="000000"/>
          <w:kern w:val="0"/>
          <w:sz w:val="18"/>
        </w:rPr>
        <w:t>匀浆蛋白浓度</w:t>
      </w:r>
      <w:r w:rsidRPr="00642F16">
        <w:rPr>
          <w:color w:val="000000"/>
          <w:kern w:val="0"/>
          <w:sz w:val="18"/>
        </w:rPr>
        <w:t>,gprot/L(prot</w:t>
      </w:r>
      <w:r w:rsidRPr="00642F16">
        <w:rPr>
          <w:rFonts w:ascii="宋体" w:hAnsi="宋体" w:cs="宋体"/>
          <w:color w:val="000000"/>
          <w:kern w:val="0"/>
          <w:sz w:val="18"/>
        </w:rPr>
        <w:t>指蛋白</w:t>
      </w:r>
      <w:r w:rsidRPr="00642F16">
        <w:rPr>
          <w:color w:val="000000"/>
          <w:kern w:val="0"/>
          <w:sz w:val="18"/>
        </w:rPr>
        <w:t>)</w:t>
      </w:r>
      <w:r w:rsidRPr="00642F16">
        <w:rPr>
          <w:rFonts w:ascii="宋体" w:hAnsi="宋体" w:cs="宋体"/>
          <w:color w:val="000000"/>
          <w:kern w:val="0"/>
          <w:sz w:val="18"/>
        </w:rPr>
        <w:t>。</w:t>
      </w:r>
    </w:p>
    <w:p w:rsidR="00076F76" w:rsidRDefault="00076F76" w:rsidP="00076F76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</w:rPr>
      </w:pPr>
      <w:r>
        <w:rPr>
          <w:rFonts w:ascii="宋体" w:hAnsi="宋体" w:cs="宋体" w:hint="eastAsia"/>
          <w:color w:val="000000"/>
          <w:kern w:val="0"/>
          <w:sz w:val="18"/>
        </w:rPr>
        <w:t>注意事项:</w:t>
      </w:r>
    </w:p>
    <w:p w:rsidR="00ED7BA7" w:rsidRPr="00076F76" w:rsidRDefault="00076F76" w:rsidP="00076F76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 w:rsidR="00ED7BA7" w:rsidRPr="00076F76">
        <w:rPr>
          <w:rFonts w:ascii="宋体" w:hAnsi="宋体" w:cs="宋体"/>
          <w:color w:val="000000"/>
          <w:kern w:val="0"/>
          <w:sz w:val="18"/>
          <w:szCs w:val="18"/>
        </w:rPr>
        <w:t>酶标仪操作时可只用主波长，孔板里不要加入气泡。</w:t>
      </w:r>
    </w:p>
    <w:p w:rsidR="00ED7BA7" w:rsidRPr="001855FC" w:rsidRDefault="00076F76" w:rsidP="00076F76">
      <w:pPr>
        <w:pStyle w:val="a3"/>
        <w:widowControl/>
        <w:ind w:left="846" w:firstLineChars="0" w:firstLine="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2.</w:t>
      </w:r>
      <w:r w:rsidR="00ED7BA7" w:rsidRPr="001855FC">
        <w:rPr>
          <w:rFonts w:ascii="宋体" w:hAnsi="宋体" w:cs="宋体"/>
          <w:color w:val="000000"/>
          <w:kern w:val="0"/>
          <w:sz w:val="18"/>
          <w:szCs w:val="18"/>
        </w:rPr>
        <w:t>样本浓度超过线性范围时，请用生理盐水将标本稀释，测定结果乘以稀释倍数。</w:t>
      </w:r>
    </w:p>
    <w:p w:rsidR="00076F76" w:rsidRPr="001855FC" w:rsidRDefault="00076F76" w:rsidP="00076F76">
      <w:pPr>
        <w:pStyle w:val="a3"/>
        <w:widowControl/>
        <w:ind w:left="846" w:firstLineChars="0" w:firstLine="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3.</w:t>
      </w:r>
      <w:r w:rsidR="00ED7BA7" w:rsidRPr="001855FC">
        <w:rPr>
          <w:rFonts w:ascii="宋体" w:hAnsi="宋体" w:cs="宋体"/>
          <w:color w:val="000000"/>
          <w:kern w:val="0"/>
          <w:sz w:val="18"/>
          <w:szCs w:val="18"/>
        </w:rPr>
        <w:t>如仪器内无本试剂盒所要求的波长，选择接近的波长（原则上偏差不超过</w:t>
      </w:r>
      <w:r w:rsidR="00ED7BA7" w:rsidRPr="001855FC">
        <w:rPr>
          <w:color w:val="000000"/>
          <w:kern w:val="0"/>
          <w:sz w:val="18"/>
          <w:szCs w:val="18"/>
        </w:rPr>
        <w:t>10nm</w:t>
      </w:r>
      <w:r w:rsidR="00ED7BA7" w:rsidRPr="001855FC">
        <w:rPr>
          <w:rFonts w:ascii="宋体" w:hAnsi="宋体" w:cs="宋体"/>
          <w:color w:val="000000"/>
          <w:kern w:val="0"/>
          <w:sz w:val="18"/>
          <w:szCs w:val="18"/>
        </w:rPr>
        <w:t>）。</w:t>
      </w:r>
      <w:r w:rsidRPr="001855FC">
        <w:rPr>
          <w:rFonts w:ascii="宋体" w:hAnsi="宋体" w:cs="宋体"/>
          <w:color w:val="000000"/>
          <w:kern w:val="0"/>
          <w:sz w:val="18"/>
          <w:szCs w:val="18"/>
        </w:rPr>
        <w:t>不同批次的试剂不推荐混合使用。</w:t>
      </w:r>
    </w:p>
    <w:p w:rsidR="00ED7BA7" w:rsidRPr="001855FC" w:rsidRDefault="00076F76" w:rsidP="00076F76">
      <w:pPr>
        <w:pStyle w:val="a3"/>
        <w:widowControl/>
        <w:ind w:left="846" w:firstLineChars="0" w:firstLine="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4.</w:t>
      </w:r>
      <w:r w:rsidR="00ED7BA7" w:rsidRPr="001855FC">
        <w:rPr>
          <w:rFonts w:ascii="宋体" w:hAnsi="宋体" w:cs="宋体"/>
          <w:color w:val="000000"/>
          <w:kern w:val="0"/>
          <w:sz w:val="18"/>
          <w:szCs w:val="18"/>
        </w:rPr>
        <w:t>试剂盒中部分原料来源于动物和微生物，使用时请做好防护措施并严格执行实验操作规程，废液按环保要求处理。</w:t>
      </w:r>
    </w:p>
    <w:p w:rsidR="00076F76" w:rsidRPr="001855FC" w:rsidRDefault="00076F76" w:rsidP="00BC3A5E">
      <w:pPr>
        <w:pStyle w:val="a3"/>
        <w:widowControl/>
        <w:ind w:left="846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5.</w:t>
      </w:r>
      <w:r w:rsidR="00ED7BA7" w:rsidRPr="001855FC">
        <w:rPr>
          <w:rFonts w:ascii="宋体" w:hAnsi="宋体" w:cs="宋体"/>
          <w:color w:val="000000"/>
          <w:kern w:val="0"/>
          <w:sz w:val="18"/>
          <w:szCs w:val="18"/>
        </w:rPr>
        <w:t>样本没有尽快检测的，脂降解作用会导致结果偏高。</w:t>
      </w:r>
      <w:r w:rsidR="00ED7BA7" w:rsidRPr="00076F76">
        <w:rPr>
          <w:rFonts w:ascii="宋体" w:hAnsi="宋体" w:cs="宋体"/>
          <w:color w:val="000000"/>
          <w:kern w:val="0"/>
          <w:sz w:val="18"/>
          <w:szCs w:val="18"/>
        </w:rPr>
        <w:t>血液中游离脂肪酸具有个体差异，进食后会升高。</w:t>
      </w:r>
    </w:p>
    <w:sectPr w:rsidR="00076F76" w:rsidRPr="001855FC" w:rsidSect="00AC7156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BD" w:rsidRDefault="00F736BD" w:rsidP="00D16204">
      <w:pPr>
        <w:spacing w:line="240" w:lineRule="auto"/>
      </w:pPr>
      <w:r>
        <w:separator/>
      </w:r>
    </w:p>
  </w:endnote>
  <w:endnote w:type="continuationSeparator" w:id="1">
    <w:p w:rsidR="00F736BD" w:rsidRDefault="00F736BD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07"/>
      <w:docPartObj>
        <w:docPartGallery w:val="Page Numbers (Bottom of Page)"/>
        <w:docPartUnique/>
      </w:docPartObj>
    </w:sdtPr>
    <w:sdtContent>
      <w:p w:rsidR="00A6021E" w:rsidRDefault="00031D29">
        <w:pPr>
          <w:pStyle w:val="a5"/>
        </w:pPr>
        <w:fldSimple w:instr=" PAGE   \* MERGEFORMAT ">
          <w:r w:rsidR="00B014D9" w:rsidRPr="00B014D9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BD" w:rsidRDefault="00F736BD" w:rsidP="00D16204">
      <w:pPr>
        <w:spacing w:line="240" w:lineRule="auto"/>
      </w:pPr>
      <w:r>
        <w:separator/>
      </w:r>
    </w:p>
  </w:footnote>
  <w:footnote w:type="continuationSeparator" w:id="1">
    <w:p w:rsidR="00F736BD" w:rsidRDefault="00F736BD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AE270B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AD87603AB2A44624AD30A38B6D492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5674B">
          <w:rPr>
            <w:rFonts w:asciiTheme="majorHAnsi" w:hAnsiTheme="majorHAnsi" w:hint="eastAsia"/>
            <w:kern w:val="0"/>
          </w:rPr>
          <w:t xml:space="preserve">                                         </w:t>
        </w:r>
        <w:r w:rsidR="0055674B">
          <w:rPr>
            <w:rFonts w:asciiTheme="majorHAnsi" w:hAnsiTheme="majorHAnsi" w:hint="eastAsia"/>
            <w:kern w:val="0"/>
          </w:rPr>
          <w:t>北京谱阅生物技术有限公司</w:t>
        </w:r>
        <w:r w:rsidR="0055674B">
          <w:rPr>
            <w:rFonts w:asciiTheme="majorHAnsi" w:hAnsiTheme="majorHAnsi" w:hint="eastAsia"/>
            <w:kern w:val="0"/>
          </w:rPr>
          <w:t xml:space="preserve">                                         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2062DDA"/>
    <w:multiLevelType w:val="hybridMultilevel"/>
    <w:tmpl w:val="C8A264BA"/>
    <w:lvl w:ilvl="0" w:tplc="720E0D20">
      <w:start w:val="1"/>
      <w:numFmt w:val="decimal"/>
      <w:lvlText w:val="%1、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4769C6"/>
    <w:multiLevelType w:val="hybridMultilevel"/>
    <w:tmpl w:val="1F6CC18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2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7677D0"/>
    <w:multiLevelType w:val="hybridMultilevel"/>
    <w:tmpl w:val="779049B8"/>
    <w:lvl w:ilvl="0" w:tplc="A61E7FD6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15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15"/>
  </w:num>
  <w:num w:numId="7">
    <w:abstractNumId w:val="2"/>
  </w:num>
  <w:num w:numId="8">
    <w:abstractNumId w:val="3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31D29"/>
    <w:rsid w:val="00047E86"/>
    <w:rsid w:val="00050817"/>
    <w:rsid w:val="00075FB9"/>
    <w:rsid w:val="00076F76"/>
    <w:rsid w:val="00077C8B"/>
    <w:rsid w:val="000933A1"/>
    <w:rsid w:val="000941A9"/>
    <w:rsid w:val="00097790"/>
    <w:rsid w:val="000B6CB7"/>
    <w:rsid w:val="00165271"/>
    <w:rsid w:val="001671F1"/>
    <w:rsid w:val="001741E5"/>
    <w:rsid w:val="001822A5"/>
    <w:rsid w:val="001855FC"/>
    <w:rsid w:val="00195B0B"/>
    <w:rsid w:val="002036B0"/>
    <w:rsid w:val="002506E4"/>
    <w:rsid w:val="002517EE"/>
    <w:rsid w:val="0025546D"/>
    <w:rsid w:val="0026157A"/>
    <w:rsid w:val="002A2D22"/>
    <w:rsid w:val="002B76D8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9718F"/>
    <w:rsid w:val="003A158B"/>
    <w:rsid w:val="003B2C3E"/>
    <w:rsid w:val="003C6032"/>
    <w:rsid w:val="003D195C"/>
    <w:rsid w:val="003E4506"/>
    <w:rsid w:val="003E4999"/>
    <w:rsid w:val="003E717C"/>
    <w:rsid w:val="00401760"/>
    <w:rsid w:val="00434D7B"/>
    <w:rsid w:val="00436C85"/>
    <w:rsid w:val="004415DA"/>
    <w:rsid w:val="0044299E"/>
    <w:rsid w:val="004532F6"/>
    <w:rsid w:val="00460917"/>
    <w:rsid w:val="0046326A"/>
    <w:rsid w:val="00465CAB"/>
    <w:rsid w:val="00493DDF"/>
    <w:rsid w:val="004A5CC2"/>
    <w:rsid w:val="004C57F4"/>
    <w:rsid w:val="004E564F"/>
    <w:rsid w:val="004F7E1E"/>
    <w:rsid w:val="005237E7"/>
    <w:rsid w:val="00533FBB"/>
    <w:rsid w:val="00536D57"/>
    <w:rsid w:val="00541870"/>
    <w:rsid w:val="0055674B"/>
    <w:rsid w:val="00570510"/>
    <w:rsid w:val="00571345"/>
    <w:rsid w:val="00576389"/>
    <w:rsid w:val="005B1738"/>
    <w:rsid w:val="005C66BB"/>
    <w:rsid w:val="005D7A46"/>
    <w:rsid w:val="005F2190"/>
    <w:rsid w:val="00605D1D"/>
    <w:rsid w:val="006378DD"/>
    <w:rsid w:val="00641C25"/>
    <w:rsid w:val="00642F16"/>
    <w:rsid w:val="006562FF"/>
    <w:rsid w:val="00662B98"/>
    <w:rsid w:val="00666902"/>
    <w:rsid w:val="00666DE7"/>
    <w:rsid w:val="0068150B"/>
    <w:rsid w:val="00683D84"/>
    <w:rsid w:val="00685F64"/>
    <w:rsid w:val="00686427"/>
    <w:rsid w:val="006B192D"/>
    <w:rsid w:val="006C32E9"/>
    <w:rsid w:val="006D0C94"/>
    <w:rsid w:val="006D2CF8"/>
    <w:rsid w:val="006F2FAF"/>
    <w:rsid w:val="00701FDD"/>
    <w:rsid w:val="007034BA"/>
    <w:rsid w:val="00706D92"/>
    <w:rsid w:val="00721997"/>
    <w:rsid w:val="00732573"/>
    <w:rsid w:val="00735160"/>
    <w:rsid w:val="00746860"/>
    <w:rsid w:val="0075551D"/>
    <w:rsid w:val="007567B6"/>
    <w:rsid w:val="00760526"/>
    <w:rsid w:val="00772E59"/>
    <w:rsid w:val="0077784D"/>
    <w:rsid w:val="00782F9C"/>
    <w:rsid w:val="007938A1"/>
    <w:rsid w:val="007A4B56"/>
    <w:rsid w:val="007A67D3"/>
    <w:rsid w:val="007B505A"/>
    <w:rsid w:val="007C1533"/>
    <w:rsid w:val="007E1E3D"/>
    <w:rsid w:val="00827042"/>
    <w:rsid w:val="008307E8"/>
    <w:rsid w:val="00846DD0"/>
    <w:rsid w:val="00860613"/>
    <w:rsid w:val="008753AB"/>
    <w:rsid w:val="008D3F1E"/>
    <w:rsid w:val="008D7D39"/>
    <w:rsid w:val="008F763E"/>
    <w:rsid w:val="009153A3"/>
    <w:rsid w:val="00933692"/>
    <w:rsid w:val="009348BC"/>
    <w:rsid w:val="009405E8"/>
    <w:rsid w:val="00941A9E"/>
    <w:rsid w:val="00944A2F"/>
    <w:rsid w:val="00947F55"/>
    <w:rsid w:val="009624D8"/>
    <w:rsid w:val="00966D49"/>
    <w:rsid w:val="00993991"/>
    <w:rsid w:val="00993A94"/>
    <w:rsid w:val="00996C04"/>
    <w:rsid w:val="009B59E3"/>
    <w:rsid w:val="009B6E77"/>
    <w:rsid w:val="009C2B68"/>
    <w:rsid w:val="009C5BA2"/>
    <w:rsid w:val="009D1A64"/>
    <w:rsid w:val="009E2F98"/>
    <w:rsid w:val="009E40E8"/>
    <w:rsid w:val="00A005E7"/>
    <w:rsid w:val="00A02400"/>
    <w:rsid w:val="00A07F1E"/>
    <w:rsid w:val="00A3087D"/>
    <w:rsid w:val="00A31967"/>
    <w:rsid w:val="00A42772"/>
    <w:rsid w:val="00A47150"/>
    <w:rsid w:val="00A56F2C"/>
    <w:rsid w:val="00A6021E"/>
    <w:rsid w:val="00A60C45"/>
    <w:rsid w:val="00A6312F"/>
    <w:rsid w:val="00A70EB3"/>
    <w:rsid w:val="00A915B1"/>
    <w:rsid w:val="00AA3C8F"/>
    <w:rsid w:val="00AC45DC"/>
    <w:rsid w:val="00AC7156"/>
    <w:rsid w:val="00AE270B"/>
    <w:rsid w:val="00AF2848"/>
    <w:rsid w:val="00B014D9"/>
    <w:rsid w:val="00B04CBD"/>
    <w:rsid w:val="00B11436"/>
    <w:rsid w:val="00B14D91"/>
    <w:rsid w:val="00B2776D"/>
    <w:rsid w:val="00B3483A"/>
    <w:rsid w:val="00B3624E"/>
    <w:rsid w:val="00B52D6F"/>
    <w:rsid w:val="00B710F1"/>
    <w:rsid w:val="00B86E71"/>
    <w:rsid w:val="00B92097"/>
    <w:rsid w:val="00B932DC"/>
    <w:rsid w:val="00B977C2"/>
    <w:rsid w:val="00BA2E47"/>
    <w:rsid w:val="00BB4BE8"/>
    <w:rsid w:val="00BC1AEE"/>
    <w:rsid w:val="00BC3A5E"/>
    <w:rsid w:val="00BF18A5"/>
    <w:rsid w:val="00C0279C"/>
    <w:rsid w:val="00C10398"/>
    <w:rsid w:val="00C33B0D"/>
    <w:rsid w:val="00C6703F"/>
    <w:rsid w:val="00CD3FA1"/>
    <w:rsid w:val="00CD74C9"/>
    <w:rsid w:val="00CE0E6A"/>
    <w:rsid w:val="00D006EE"/>
    <w:rsid w:val="00D038C2"/>
    <w:rsid w:val="00D0399B"/>
    <w:rsid w:val="00D03FAD"/>
    <w:rsid w:val="00D10CC7"/>
    <w:rsid w:val="00D16204"/>
    <w:rsid w:val="00D557A4"/>
    <w:rsid w:val="00D64FBE"/>
    <w:rsid w:val="00DA3216"/>
    <w:rsid w:val="00DA794E"/>
    <w:rsid w:val="00DB3AA7"/>
    <w:rsid w:val="00DD0D99"/>
    <w:rsid w:val="00DE3A07"/>
    <w:rsid w:val="00E34BD9"/>
    <w:rsid w:val="00E36561"/>
    <w:rsid w:val="00E440CF"/>
    <w:rsid w:val="00E501CA"/>
    <w:rsid w:val="00E52487"/>
    <w:rsid w:val="00E71399"/>
    <w:rsid w:val="00EA2A96"/>
    <w:rsid w:val="00EA36AD"/>
    <w:rsid w:val="00EB1FB3"/>
    <w:rsid w:val="00ED4C1E"/>
    <w:rsid w:val="00ED632A"/>
    <w:rsid w:val="00ED684A"/>
    <w:rsid w:val="00ED7BA7"/>
    <w:rsid w:val="00F16958"/>
    <w:rsid w:val="00F43908"/>
    <w:rsid w:val="00F60455"/>
    <w:rsid w:val="00F60494"/>
    <w:rsid w:val="00F736BD"/>
    <w:rsid w:val="00F9159E"/>
    <w:rsid w:val="00FA144D"/>
    <w:rsid w:val="00FC1BC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30"/>
        <o:r id="V:Rule8" type="connector" idref="#_x0000_s1032"/>
        <o:r id="V:Rule1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434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434D7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603AB2A44624AD30A38B6D492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FFD9D4-F2D9-408D-A20E-22843771B79A}"/>
      </w:docPartPr>
      <w:docPartBody>
        <w:p w:rsidR="009973E3" w:rsidRDefault="00AA590D" w:rsidP="00AA590D">
          <w:pPr>
            <w:pStyle w:val="AD87603AB2A44624AD30A38B6D492BC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B1D2F"/>
    <w:rsid w:val="002D0013"/>
    <w:rsid w:val="00353244"/>
    <w:rsid w:val="00384EE6"/>
    <w:rsid w:val="003D0A8B"/>
    <w:rsid w:val="003E2A14"/>
    <w:rsid w:val="003E7494"/>
    <w:rsid w:val="003F3625"/>
    <w:rsid w:val="006B1BB1"/>
    <w:rsid w:val="006B4219"/>
    <w:rsid w:val="006C61B8"/>
    <w:rsid w:val="00706688"/>
    <w:rsid w:val="007F5D29"/>
    <w:rsid w:val="0081371A"/>
    <w:rsid w:val="0085332B"/>
    <w:rsid w:val="008F38A4"/>
    <w:rsid w:val="0092274A"/>
    <w:rsid w:val="009973E3"/>
    <w:rsid w:val="00A85E4C"/>
    <w:rsid w:val="00AA20C7"/>
    <w:rsid w:val="00AA590D"/>
    <w:rsid w:val="00B850B9"/>
    <w:rsid w:val="00BB0787"/>
    <w:rsid w:val="00BE21D2"/>
    <w:rsid w:val="00BE320B"/>
    <w:rsid w:val="00D31FF0"/>
    <w:rsid w:val="00DC4640"/>
    <w:rsid w:val="00E7200F"/>
    <w:rsid w:val="00EF418A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  <w:style w:type="paragraph" w:customStyle="1" w:styleId="1CD67A4D67844B79B9BA83B6AE41483B">
    <w:name w:val="1CD67A4D67844B79B9BA83B6AE41483B"/>
    <w:rsid w:val="00AA590D"/>
    <w:pPr>
      <w:widowControl w:val="0"/>
      <w:jc w:val="both"/>
    </w:pPr>
  </w:style>
  <w:style w:type="paragraph" w:customStyle="1" w:styleId="5A7B6F92502A450C8DE1F25B35E07C83">
    <w:name w:val="5A7B6F92502A450C8DE1F25B35E07C83"/>
    <w:rsid w:val="00AA590D"/>
    <w:pPr>
      <w:widowControl w:val="0"/>
      <w:jc w:val="both"/>
    </w:pPr>
  </w:style>
  <w:style w:type="paragraph" w:customStyle="1" w:styleId="AD87603AB2A44624AD30A38B6D492BC3">
    <w:name w:val="AD87603AB2A44624AD30A38B6D492BC3"/>
    <w:rsid w:val="00AA590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1347</Characters>
  <Application>Microsoft Office Word</Application>
  <DocSecurity>0</DocSecurity>
  <Lines>11</Lines>
  <Paragraphs>3</Paragraphs>
  <ScaleCrop>false</ScaleCrop>
  <Company>XiTongPan.Com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北京谱阅生物技术有限公司                                              </dc:title>
  <dc:creator>基谱生物</dc:creator>
  <cp:lastModifiedBy>Windows 用户</cp:lastModifiedBy>
  <cp:revision>22</cp:revision>
  <cp:lastPrinted>2024-09-30T06:51:00Z</cp:lastPrinted>
  <dcterms:created xsi:type="dcterms:W3CDTF">2024-12-13T08:30:00Z</dcterms:created>
  <dcterms:modified xsi:type="dcterms:W3CDTF">2024-12-20T07:21:00Z</dcterms:modified>
</cp:coreProperties>
</file>